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ascii="Times New Roman" w:hAnsi="Times New Roman" w:eastAsia="仿宋_GB2312" w:cs="Times New Roman"/>
          <w:sz w:val="30"/>
          <w:szCs w:val="30"/>
        </w:rPr>
      </w:pPr>
      <w:bookmarkStart w:id="0" w:name="_Toc154474090"/>
      <w:bookmarkStart w:id="77" w:name="_GoBack"/>
      <w:bookmarkEnd w:id="77"/>
      <w:r>
        <w:rPr>
          <w:rFonts w:ascii="Times New Roman" w:hAnsi="Times New Roman" w:eastAsia="仿宋_GB2312" w:cs="Times New Roman"/>
          <w:sz w:val="30"/>
          <w:szCs w:val="30"/>
        </w:rPr>
        <w:t>第</w:t>
      </w:r>
      <w:r>
        <w:rPr>
          <w:rFonts w:hint="eastAsia" w:ascii="Times New Roman" w:hAnsi="Times New Roman" w:eastAsia="仿宋_GB2312" w:cs="Times New Roman"/>
          <w:sz w:val="30"/>
          <w:szCs w:val="30"/>
        </w:rPr>
        <w:t>一</w:t>
      </w:r>
      <w:r>
        <w:rPr>
          <w:rFonts w:ascii="Times New Roman" w:hAnsi="Times New Roman" w:eastAsia="仿宋_GB2312" w:cs="Times New Roman"/>
          <w:sz w:val="30"/>
          <w:szCs w:val="30"/>
        </w:rPr>
        <w:t>章</w:t>
      </w:r>
      <w:r>
        <w:rPr>
          <w:rFonts w:hint="eastAsia" w:ascii="Times New Roman" w:hAnsi="Times New Roman" w:eastAsia="仿宋_GB2312" w:cs="Times New Roman"/>
          <w:sz w:val="30"/>
          <w:szCs w:val="30"/>
        </w:rPr>
        <w:t xml:space="preserve"> 总则</w:t>
      </w:r>
      <w:bookmarkEnd w:id="0"/>
    </w:p>
    <w:p>
      <w:pPr>
        <w:pStyle w:val="3"/>
        <w:spacing w:before="0" w:after="0" w:line="360" w:lineRule="auto"/>
        <w:jc w:val="center"/>
        <w:rPr>
          <w:rFonts w:ascii="Times New Roman" w:hAnsi="Times New Roman" w:eastAsia="仿宋_GB2312" w:cs="Times New Roman"/>
          <w:sz w:val="28"/>
          <w:szCs w:val="28"/>
        </w:rPr>
      </w:pPr>
      <w:bookmarkStart w:id="1" w:name="_Toc154474091"/>
      <w:r>
        <w:rPr>
          <w:rFonts w:hint="eastAsia" w:ascii="Times New Roman" w:hAnsi="Times New Roman" w:eastAsia="仿宋_GB2312" w:cs="Times New Roman"/>
          <w:sz w:val="28"/>
          <w:szCs w:val="28"/>
        </w:rPr>
        <w:t xml:space="preserve">第一节 </w:t>
      </w:r>
      <w:r>
        <w:rPr>
          <w:rFonts w:ascii="Times New Roman" w:hAnsi="Times New Roman" w:eastAsia="仿宋_GB2312" w:cs="Times New Roman"/>
          <w:sz w:val="28"/>
          <w:szCs w:val="28"/>
        </w:rPr>
        <w:t>规划背景</w:t>
      </w:r>
      <w:bookmarkEnd w:id="1"/>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党的十八大以来，以习近平同志为核心的党中央、国务院高度重视生态建设，制定出台了一系列政策措施。习近平总书记在党的十九大报告指出：必须树立和践行绿水青山就是金山银山的理念，坚持节约资源和保护环境的基本国策，像对待生命一样对待生态环境，统筹山水林田湖草系统治理，实行最严格的生态环境保护制度，形成绿色发展方式和生活方式，坚定走生产发展、生活富裕、生态良好的文明发展道路，建设美丽中国，为人民创造良好生产生活环境。党的二十大深刻阐述了人与自然和谐共生是中国式现代化的重要特征，对加强生态文明建设作出战略部署，强调要坚持山水林田湖草沙一体化保护和系统治理，统筹产业结构调整、污染治理、生态保护、应对气候变化，协同推进降碳、减污、扩绿、增长，推进生态优先、节约集约、绿色低碳发展。国家对生态建设的高度重视和坚定决心，为实施山体保护提供强有力的政策支持。</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为推动“十四五”时期河南现代化建设，锚定保护黄河流域生态，推动全省生态文明建设，河南省提出“生态治理和生态廊道建设提质行动”，加强山水林田湖草沙系统修复治理，持续开展国土绿化和森林河南建设，推进沿黄复合型生态廊道全景贯通。为加快建设生态强省，河南省提出在“十四五”期间打造黄河流域生态保护示范区，推进沿黄生态带建设。构建大河大山大平原生态格局，增强山地生态屏障功能。</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三门峡市紧抓黄河流域生态保护和高质量发展重大国家战略机遇，以“黄河中游突出抓好水土保持和污染治理”为工作重点统筹推进山水林田湖草沙综合治理。为切实加强山体保护管理，三门峡市人民政府</w:t>
      </w:r>
      <w:r>
        <w:rPr>
          <w:rFonts w:hint="eastAsia" w:ascii="Times New Roman" w:hAnsi="Times New Roman" w:cs="Times New Roman"/>
          <w:bCs/>
          <w:sz w:val="24"/>
          <w:szCs w:val="24"/>
        </w:rPr>
        <w:t>发布</w:t>
      </w:r>
      <w:r>
        <w:rPr>
          <w:rFonts w:ascii="Times New Roman" w:hAnsi="Times New Roman" w:cs="Times New Roman"/>
          <w:bCs/>
          <w:sz w:val="24"/>
          <w:szCs w:val="24"/>
        </w:rPr>
        <w:t>《三门峡市山体保护条例》，</w:t>
      </w:r>
      <w:r>
        <w:rPr>
          <w:rFonts w:hint="eastAsia" w:ascii="Times New Roman" w:hAnsi="Times New Roman" w:cs="Times New Roman"/>
          <w:bCs/>
          <w:sz w:val="24"/>
          <w:szCs w:val="24"/>
        </w:rPr>
        <w:t>该条例</w:t>
      </w:r>
      <w:r>
        <w:rPr>
          <w:rFonts w:ascii="Times New Roman" w:hAnsi="Times New Roman" w:cs="Times New Roman"/>
          <w:bCs/>
          <w:sz w:val="24"/>
          <w:szCs w:val="24"/>
        </w:rPr>
        <w:t>为加强山体保护管理、合理开发、利用山体资源提供了政策依据和评价标准，也为组织开展山体保护专项规划提供法律依据。</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为践行绿色发展理念，推进生态文明建设，加强所辖行政区域内自然山脉、山地与丘陵保护和矿山地质环境治理，加大修复力度，规范森林、土地、矿产等自然资源科学开发利用，渑池县委县政府和自然资源行政主管部门相继发布一系列政策文件，推动落实三门峡市山长制改革各项工作。</w:t>
      </w:r>
      <w:r>
        <w:rPr>
          <w:rFonts w:hint="eastAsia" w:ascii="Times New Roman" w:hAnsi="Times New Roman" w:cs="Times New Roman"/>
          <w:bCs/>
          <w:sz w:val="24"/>
          <w:szCs w:val="24"/>
        </w:rPr>
        <w:t>在山体调查的基础上，编制山体保护专项规划，实施山体生态保护，可以提升山体生态系统的稳定性，逐步构建起以自然山体为主体的区域生态安全屏障，满足人民对良好生态环境的需求，统筹推进生态事业和生态产业，助力黄河流域绿色生态经济发展示范区建设。这也是渑池县贯彻落实二十大精神的具体行动，是衔接上层位规划、协调同层位规划的必要举措。</w:t>
      </w:r>
    </w:p>
    <w:p>
      <w:pPr>
        <w:pStyle w:val="3"/>
        <w:spacing w:after="100" w:afterAutospacing="1" w:line="240" w:lineRule="auto"/>
        <w:jc w:val="center"/>
        <w:rPr>
          <w:rFonts w:ascii="Times New Roman" w:hAnsi="Times New Roman" w:eastAsia="仿宋_GB2312" w:cs="Times New Roman"/>
          <w:sz w:val="28"/>
          <w:szCs w:val="28"/>
        </w:rPr>
      </w:pPr>
      <w:bookmarkStart w:id="2" w:name="_Toc154474092"/>
      <w:r>
        <w:rPr>
          <w:rFonts w:hint="eastAsia" w:ascii="Times New Roman" w:hAnsi="Times New Roman" w:eastAsia="仿宋_GB2312" w:cs="Times New Roman"/>
          <w:sz w:val="28"/>
          <w:szCs w:val="28"/>
        </w:rPr>
        <w:t xml:space="preserve">第二节 </w:t>
      </w:r>
      <w:r>
        <w:rPr>
          <w:rFonts w:ascii="Times New Roman" w:hAnsi="Times New Roman" w:eastAsia="仿宋_GB2312" w:cs="Times New Roman"/>
          <w:sz w:val="28"/>
          <w:szCs w:val="28"/>
        </w:rPr>
        <w:t>规划目标</w:t>
      </w:r>
      <w:bookmarkEnd w:id="2"/>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通过编制与实施渑池县山体保护专项规划，明确渑池县山体保护的重点与措施，妥善解决好山体保护与开发利用的矛盾，使山体环境及其资源得到有效保护，山体构架及其格局渐趋稳定，以山体为骨架的</w:t>
      </w:r>
      <w:r>
        <w:rPr>
          <w:rFonts w:hint="eastAsia" w:ascii="Times New Roman" w:hAnsi="Times New Roman" w:cs="Times New Roman"/>
          <w:bCs/>
          <w:sz w:val="24"/>
          <w:szCs w:val="24"/>
        </w:rPr>
        <w:t>县</w:t>
      </w:r>
      <w:r>
        <w:rPr>
          <w:rFonts w:ascii="Times New Roman" w:hAnsi="Times New Roman" w:cs="Times New Roman"/>
          <w:bCs/>
          <w:sz w:val="24"/>
          <w:szCs w:val="24"/>
        </w:rPr>
        <w:t>域生态空间格局日益优化，地形地貌总体保持完整；区域自然生态服务功能进一步提升，资源环境容量与综合承载能力逐步增强，防灾减灾和应对气候变化功能显著提高，生物多样性得到有效保护，植被结构进一步优化，植物群落顺向演替，森林覆盖率保持稳定，自然生态系统实现良性循环，山体特色景观质量进一步提高。构建起以山体为骨架、融合山水林田湖</w:t>
      </w:r>
      <w:r>
        <w:rPr>
          <w:rFonts w:hint="eastAsia" w:ascii="Times New Roman" w:hAnsi="Times New Roman" w:cs="Times New Roman"/>
          <w:bCs/>
          <w:sz w:val="24"/>
          <w:szCs w:val="24"/>
        </w:rPr>
        <w:t>草</w:t>
      </w:r>
      <w:r>
        <w:rPr>
          <w:rFonts w:ascii="Times New Roman" w:hAnsi="Times New Roman" w:cs="Times New Roman"/>
          <w:bCs/>
          <w:sz w:val="24"/>
          <w:szCs w:val="24"/>
        </w:rPr>
        <w:t>的渑池县域生态安全格局，</w:t>
      </w:r>
      <w:bookmarkStart w:id="3" w:name="_Hlk153288635"/>
      <w:r>
        <w:rPr>
          <w:rFonts w:hint="eastAsia" w:ascii="Times New Roman" w:hAnsi="Times New Roman" w:cs="Times New Roman"/>
          <w:bCs/>
          <w:sz w:val="24"/>
          <w:szCs w:val="24"/>
        </w:rPr>
        <w:t>加强山体保护，改善生态环境，促进本县黄河流域生态保护和高质量发展</w:t>
      </w:r>
      <w:bookmarkEnd w:id="3"/>
      <w:r>
        <w:rPr>
          <w:rFonts w:ascii="Times New Roman" w:hAnsi="Times New Roman" w:cs="Times New Roman"/>
          <w:bCs/>
          <w:sz w:val="24"/>
          <w:szCs w:val="24"/>
        </w:rPr>
        <w:t>。</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（一）生态保护目标</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构建有效生态保护体系，防止山体被随意挖掘和污染，保障山体景观及整体骨架的完整性和空间连贯性，努力保持山体的自然风貌；构建山体自然灾害监测制度，确保在规划期内不发生大的次生灾害，提供更多动植物栖息地，维护生物多样性，促进人与自然和谐发展。维护城市生态平衡，实现城市可持续性发展。</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（二）自然灾害防控目标</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对前期开发利用过程中容易引发塌方、水土流失等次生灾害的地段，实施工程治理；对已遭到破坏的森林植被进行人工修复；对潜在生态安全隐患进行综合治理，确保在规划期内不发生大的次生灾害。建立完善旱涝、气象、地震、地质、生物等重大自然灾害预警、预报和紧急救援体系，提高自然灾害应急保障能力，切实维护人民生命财产安全。</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（三）</w:t>
      </w:r>
      <w:r>
        <w:rPr>
          <w:rFonts w:hint="eastAsia" w:ascii="Times New Roman" w:hAnsi="Times New Roman" w:cs="Times New Roman"/>
          <w:bCs/>
          <w:sz w:val="24"/>
          <w:szCs w:val="24"/>
        </w:rPr>
        <w:t>山体生态修复</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对规划保护的山体，应加强封山育林，</w:t>
      </w:r>
      <w:r>
        <w:rPr>
          <w:rFonts w:hint="eastAsia" w:ascii="Times New Roman" w:hAnsi="Times New Roman" w:cs="Times New Roman"/>
          <w:bCs/>
          <w:sz w:val="24"/>
          <w:szCs w:val="24"/>
        </w:rPr>
        <w:t>限制</w:t>
      </w:r>
      <w:r>
        <w:rPr>
          <w:rFonts w:ascii="Times New Roman" w:hAnsi="Times New Roman" w:cs="Times New Roman"/>
          <w:bCs/>
          <w:sz w:val="24"/>
          <w:szCs w:val="24"/>
        </w:rPr>
        <w:t>耕垦、采伐、采挖、开山造地等导致山体景观破碎化的行为，</w:t>
      </w:r>
      <w:r>
        <w:rPr>
          <w:rFonts w:hint="eastAsia" w:ascii="Times New Roman" w:hAnsi="Times New Roman" w:cs="Times New Roman"/>
          <w:bCs/>
          <w:sz w:val="24"/>
          <w:szCs w:val="24"/>
        </w:rPr>
        <w:t>进行山体生态修复</w:t>
      </w:r>
      <w:r>
        <w:rPr>
          <w:rFonts w:ascii="Times New Roman" w:hAnsi="Times New Roman" w:cs="Times New Roman"/>
          <w:bCs/>
          <w:sz w:val="24"/>
          <w:szCs w:val="24"/>
        </w:rPr>
        <w:t>，努力保持山体的自然风貌。营造多样性自然生态环境，追求人与自然和谐共生的乐趣。</w:t>
      </w:r>
      <w:r>
        <w:rPr>
          <w:rFonts w:hint="eastAsia" w:ascii="Times New Roman" w:hAnsi="Times New Roman" w:cs="Times New Roman"/>
          <w:bCs/>
          <w:sz w:val="24"/>
          <w:szCs w:val="24"/>
        </w:rPr>
        <w:t>通过实施矿山地质环境生态修复、保护生物多样性等措施，构建渑池县生态安全屏障，保障黄河流域和渑池县生态安全。</w:t>
      </w:r>
    </w:p>
    <w:p>
      <w:pPr>
        <w:pStyle w:val="3"/>
        <w:spacing w:after="100" w:afterAutospacing="1" w:line="360" w:lineRule="auto"/>
        <w:jc w:val="center"/>
        <w:rPr>
          <w:rFonts w:ascii="Times New Roman" w:hAnsi="Times New Roman" w:eastAsia="仿宋_GB2312" w:cs="Times New Roman"/>
          <w:sz w:val="28"/>
          <w:szCs w:val="28"/>
        </w:rPr>
      </w:pPr>
      <w:bookmarkStart w:id="4" w:name="_Toc154474093"/>
      <w:r>
        <w:rPr>
          <w:rFonts w:hint="eastAsia" w:ascii="Times New Roman" w:hAnsi="Times New Roman" w:eastAsia="仿宋_GB2312" w:cs="Times New Roman"/>
          <w:sz w:val="28"/>
          <w:szCs w:val="28"/>
        </w:rPr>
        <w:t>第三节 思想与</w:t>
      </w:r>
      <w:r>
        <w:rPr>
          <w:rFonts w:ascii="Times New Roman" w:hAnsi="Times New Roman" w:eastAsia="仿宋_GB2312" w:cs="Times New Roman"/>
          <w:sz w:val="28"/>
          <w:szCs w:val="28"/>
        </w:rPr>
        <w:t>要求</w:t>
      </w:r>
      <w:bookmarkEnd w:id="4"/>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以习近平新时代中国特色社会主义重要思想为指导，认真贯彻党的十九大精神及习近平总书记生态文明思想，围绕黄河流域生态保护和高质量发展，按照“政府主导、属地管理、分级负责、部门协作、社会共管”的原则，紧紧围绕“生态立县”的总体目标，全面贯彻落实党的十九大及习近平总书记系列重要讲话精神，牢固树立和践行“绿水青山就是金山银山”的理念和人与自然和谐共生的基本方略。</w:t>
      </w:r>
    </w:p>
    <w:p>
      <w:pPr>
        <w:spacing w:line="580" w:lineRule="exact"/>
        <w:ind w:firstLine="480" w:firstLineChars="200"/>
        <w:rPr>
          <w:rFonts w:ascii="Times New Roman" w:hAnsi="Times New Roman" w:cs="Times New Roman"/>
        </w:rPr>
      </w:pPr>
      <w:r>
        <w:rPr>
          <w:rFonts w:ascii="Times New Roman" w:hAnsi="Times New Roman" w:cs="Times New Roman"/>
          <w:bCs/>
          <w:sz w:val="24"/>
          <w:szCs w:val="24"/>
        </w:rPr>
        <w:t>以《三门峡市山体保护条例》为依据，结合渑池县山体保护的要求，立足渑池县地形地貌特点，通过科学规划，以促进山体生态系统平衡为基本遵循，划定山地保护范围，落实山体管控措施，并通过严格保护和精准修复，提升山体及区域生态系统的完整性和稳定性，</w:t>
      </w:r>
      <w:bookmarkStart w:id="5" w:name="_Hlk147995976"/>
      <w:r>
        <w:rPr>
          <w:rFonts w:ascii="Times New Roman" w:hAnsi="Times New Roman" w:cs="Times New Roman"/>
          <w:bCs/>
          <w:sz w:val="24"/>
          <w:szCs w:val="24"/>
        </w:rPr>
        <w:t>构建结构完整、功能齐全、布局合理、特色鲜明的山体保护体系，妥善解决好山体保护与开发利用的矛盾，为推进乡村振兴、高质量建设“五个渑池”提供坚实的生态保障。</w:t>
      </w:r>
      <w:bookmarkEnd w:id="5"/>
    </w:p>
    <w:p>
      <w:pPr>
        <w:pStyle w:val="3"/>
        <w:spacing w:after="100" w:afterAutospacing="1" w:line="240" w:lineRule="auto"/>
        <w:jc w:val="center"/>
        <w:rPr>
          <w:rFonts w:ascii="Times New Roman" w:hAnsi="Times New Roman" w:eastAsia="仿宋_GB2312" w:cs="Times New Roman"/>
          <w:sz w:val="28"/>
          <w:szCs w:val="28"/>
        </w:rPr>
      </w:pPr>
      <w:bookmarkStart w:id="6" w:name="_Toc154474094"/>
      <w:r>
        <w:rPr>
          <w:rFonts w:hint="eastAsia" w:ascii="Times New Roman" w:hAnsi="Times New Roman" w:eastAsia="仿宋_GB2312" w:cs="Times New Roman"/>
          <w:sz w:val="28"/>
          <w:szCs w:val="28"/>
        </w:rPr>
        <w:t xml:space="preserve">第四节 </w:t>
      </w:r>
      <w:r>
        <w:rPr>
          <w:rFonts w:ascii="Times New Roman" w:hAnsi="Times New Roman" w:eastAsia="仿宋_GB2312" w:cs="Times New Roman"/>
          <w:sz w:val="28"/>
          <w:szCs w:val="28"/>
        </w:rPr>
        <w:t>基本原则</w:t>
      </w:r>
      <w:bookmarkEnd w:id="6"/>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（一）生态优先</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坚持遵循自然、生态优先、绿色发展原则。牢固树立绿水青山是金山银山的理念，处理好资源保护管理与开发利用的关系，森林培育保护与生态治理修复并重，促进生态环境水平总体提升。以山体保护为中心，在有利于保护自然资源、修复生态环境、维护生物多样性的前提下，正确处理自然保护与发展利用之间的关系，提升山体生态系统功能，在保护中发展，在发展中实施保护，将维护山体的生态安全放在首位。</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w:t>
      </w:r>
      <w:r>
        <w:rPr>
          <w:rFonts w:hint="eastAsia" w:ascii="Times New Roman" w:hAnsi="Times New Roman" w:cs="Times New Roman"/>
          <w:bCs/>
          <w:sz w:val="24"/>
          <w:szCs w:val="24"/>
        </w:rPr>
        <w:t>二</w:t>
      </w:r>
      <w:r>
        <w:rPr>
          <w:rFonts w:ascii="Times New Roman" w:hAnsi="Times New Roman" w:cs="Times New Roman"/>
          <w:bCs/>
          <w:sz w:val="24"/>
          <w:szCs w:val="24"/>
        </w:rPr>
        <w:t>）统筹规划</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将山体保护专项规划与城市总体规划、土地利用总体规划、自然保护地整合优化等相衔接，根据山体保护现状，坚持统筹兼顾、因地制宜划分保护区，兼顾不同政府部门的要求，给地方留有弹性空间，营造一个发展与保护并重，人与环境和谐发展的良好局面。山体保护规划应当符合国土空间规划，并与生态保护红线、城市绿线、水土保持、地质灾害防治、矿产资源、林地保护利用、自然保护地、生态修复等有关规划相衔接。</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w:t>
      </w:r>
      <w:r>
        <w:rPr>
          <w:rFonts w:hint="eastAsia" w:ascii="Times New Roman" w:hAnsi="Times New Roman" w:cs="Times New Roman"/>
          <w:bCs/>
          <w:sz w:val="24"/>
          <w:szCs w:val="24"/>
        </w:rPr>
        <w:t>三</w:t>
      </w:r>
      <w:r>
        <w:rPr>
          <w:rFonts w:ascii="Times New Roman" w:hAnsi="Times New Roman" w:cs="Times New Roman"/>
          <w:bCs/>
          <w:sz w:val="24"/>
          <w:szCs w:val="24"/>
        </w:rPr>
        <w:t>）分类保护</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充分调查山体现状，根据现有山体的</w:t>
      </w:r>
      <w:r>
        <w:rPr>
          <w:rFonts w:hint="eastAsia" w:ascii="Times New Roman" w:hAnsi="Times New Roman" w:cs="Times New Roman"/>
          <w:bCs/>
          <w:sz w:val="24"/>
          <w:szCs w:val="24"/>
        </w:rPr>
        <w:t>坐落</w:t>
      </w:r>
      <w:r>
        <w:rPr>
          <w:rFonts w:ascii="Times New Roman" w:hAnsi="Times New Roman" w:cs="Times New Roman"/>
          <w:bCs/>
          <w:sz w:val="24"/>
          <w:szCs w:val="24"/>
        </w:rPr>
        <w:t>位置、生态区位的重要性、绿地景观效果和自然资源价值，结合经济社会发展的需求，将应保护的山体按重要程度分级，坚持分区分类施策，实行“分级管制、分类保护”。山体保护名录分为重点保护名录和一般保护名录。</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w:t>
      </w:r>
      <w:r>
        <w:rPr>
          <w:rFonts w:hint="eastAsia" w:ascii="Times New Roman" w:hAnsi="Times New Roman" w:cs="Times New Roman"/>
          <w:bCs/>
          <w:sz w:val="24"/>
          <w:szCs w:val="24"/>
        </w:rPr>
        <w:t>四</w:t>
      </w:r>
      <w:r>
        <w:rPr>
          <w:rFonts w:ascii="Times New Roman" w:hAnsi="Times New Roman" w:cs="Times New Roman"/>
          <w:bCs/>
          <w:sz w:val="24"/>
          <w:szCs w:val="24"/>
        </w:rPr>
        <w:t>）</w:t>
      </w:r>
      <w:r>
        <w:rPr>
          <w:rFonts w:hint="eastAsia" w:ascii="Times New Roman" w:hAnsi="Times New Roman" w:cs="Times New Roman"/>
          <w:bCs/>
          <w:sz w:val="24"/>
          <w:szCs w:val="24"/>
        </w:rPr>
        <w:t>科学修复</w:t>
      </w:r>
    </w:p>
    <w:p>
      <w:pPr>
        <w:spacing w:line="580" w:lineRule="exact"/>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尊重自然规律，</w:t>
      </w:r>
      <w:r>
        <w:rPr>
          <w:rFonts w:ascii="Times New Roman" w:hAnsi="Times New Roman" w:cs="Times New Roman"/>
          <w:bCs/>
          <w:sz w:val="24"/>
          <w:szCs w:val="24"/>
        </w:rPr>
        <w:t>坚持</w:t>
      </w:r>
      <w:r>
        <w:rPr>
          <w:rFonts w:hint="eastAsia" w:ascii="Times New Roman" w:hAnsi="Times New Roman" w:cs="Times New Roman"/>
          <w:bCs/>
          <w:sz w:val="24"/>
          <w:szCs w:val="24"/>
        </w:rPr>
        <w:t>科学修复</w:t>
      </w:r>
      <w:r>
        <w:rPr>
          <w:rFonts w:ascii="Times New Roman" w:hAnsi="Times New Roman" w:cs="Times New Roman"/>
          <w:bCs/>
          <w:sz w:val="24"/>
          <w:szCs w:val="24"/>
        </w:rPr>
        <w:t>原则。立足辖区实际，因地制宜、分类保护、科学管理，解决好森林资源保护管理中的突出问题，全面增强森林生态系统的稳定性和服务功能。</w:t>
      </w:r>
    </w:p>
    <w:p>
      <w:pPr>
        <w:spacing w:line="580" w:lineRule="exact"/>
        <w:ind w:firstLine="480" w:firstLineChars="200"/>
        <w:rPr>
          <w:rFonts w:ascii="Times New Roman" w:hAnsi="Times New Roman" w:cs="Times New Roman"/>
          <w:bCs/>
          <w:sz w:val="24"/>
          <w:szCs w:val="24"/>
        </w:rPr>
      </w:pPr>
      <w:r>
        <w:rPr>
          <w:rFonts w:ascii="Times New Roman" w:hAnsi="Times New Roman" w:cs="Times New Roman"/>
          <w:bCs/>
          <w:sz w:val="24"/>
          <w:szCs w:val="24"/>
        </w:rPr>
        <w:t>（</w:t>
      </w:r>
      <w:r>
        <w:rPr>
          <w:rFonts w:hint="eastAsia" w:ascii="Times New Roman" w:hAnsi="Times New Roman" w:cs="Times New Roman"/>
          <w:bCs/>
          <w:sz w:val="24"/>
          <w:szCs w:val="24"/>
        </w:rPr>
        <w:t>五</w:t>
      </w:r>
      <w:r>
        <w:rPr>
          <w:rFonts w:ascii="Times New Roman" w:hAnsi="Times New Roman" w:cs="Times New Roman"/>
          <w:bCs/>
          <w:sz w:val="24"/>
          <w:szCs w:val="24"/>
        </w:rPr>
        <w:t>）</w:t>
      </w:r>
      <w:r>
        <w:rPr>
          <w:rFonts w:hint="eastAsia" w:ascii="Times New Roman" w:hAnsi="Times New Roman" w:cs="Times New Roman"/>
          <w:bCs/>
          <w:sz w:val="24"/>
          <w:szCs w:val="24"/>
        </w:rPr>
        <w:t>损害担责</w:t>
      </w:r>
    </w:p>
    <w:p>
      <w:pPr>
        <w:spacing w:line="580" w:lineRule="exact"/>
        <w:ind w:firstLine="480" w:firstLineChars="200"/>
        <w:rPr>
          <w:rFonts w:ascii="Times New Roman" w:hAnsi="Times New Roman" w:cs="Times New Roman"/>
        </w:rPr>
      </w:pPr>
      <w:r>
        <w:rPr>
          <w:rFonts w:ascii="Times New Roman" w:hAnsi="Times New Roman" w:cs="Times New Roman"/>
          <w:bCs/>
          <w:sz w:val="24"/>
          <w:szCs w:val="24"/>
        </w:rPr>
        <w:t>坚持</w:t>
      </w:r>
      <w:r>
        <w:rPr>
          <w:rFonts w:hint="eastAsia" w:ascii="Times New Roman" w:hAnsi="Times New Roman" w:cs="Times New Roman"/>
          <w:bCs/>
          <w:sz w:val="24"/>
          <w:szCs w:val="24"/>
        </w:rPr>
        <w:t>依法保护、损害担责</w:t>
      </w:r>
      <w:r>
        <w:rPr>
          <w:rFonts w:ascii="Times New Roman" w:hAnsi="Times New Roman" w:cs="Times New Roman"/>
          <w:bCs/>
          <w:sz w:val="24"/>
          <w:szCs w:val="24"/>
        </w:rPr>
        <w:t>原则。依法治林管林，建立健全森林资源保护和责任追究制度，拓展公众参与渠道，营造全社会尊重自然、爱林护绿的良好氛围。</w:t>
      </w:r>
    </w:p>
    <w:p>
      <w:pPr>
        <w:pStyle w:val="3"/>
        <w:spacing w:after="100" w:afterAutospacing="1" w:line="240" w:lineRule="auto"/>
        <w:jc w:val="center"/>
        <w:rPr>
          <w:rFonts w:ascii="Times New Roman" w:hAnsi="Times New Roman" w:eastAsia="仿宋_GB2312" w:cs="Times New Roman"/>
          <w:sz w:val="28"/>
          <w:szCs w:val="28"/>
        </w:rPr>
      </w:pPr>
      <w:bookmarkStart w:id="7" w:name="_Toc154474095"/>
      <w:r>
        <w:rPr>
          <w:rFonts w:hint="eastAsia" w:ascii="Times New Roman" w:hAnsi="Times New Roman" w:eastAsia="仿宋_GB2312" w:cs="Times New Roman"/>
          <w:sz w:val="28"/>
          <w:szCs w:val="28"/>
        </w:rPr>
        <w:t xml:space="preserve">第五节 </w:t>
      </w:r>
      <w:r>
        <w:rPr>
          <w:rFonts w:ascii="Times New Roman" w:hAnsi="Times New Roman" w:eastAsia="仿宋_GB2312" w:cs="Times New Roman"/>
          <w:sz w:val="28"/>
          <w:szCs w:val="28"/>
        </w:rPr>
        <w:t>规划区范围</w:t>
      </w:r>
      <w:bookmarkEnd w:id="7"/>
    </w:p>
    <w:p>
      <w:pPr>
        <w:spacing w:line="580" w:lineRule="exact"/>
        <w:ind w:firstLine="480" w:firstLineChars="200"/>
        <w:rPr>
          <w:rFonts w:ascii="Times New Roman" w:hAnsi="Times New Roman" w:cs="Times New Roman"/>
        </w:rPr>
      </w:pPr>
      <w:r>
        <w:rPr>
          <w:rFonts w:ascii="Times New Roman" w:hAnsi="Times New Roman" w:cs="Times New Roman"/>
          <w:bCs/>
          <w:sz w:val="24"/>
          <w:szCs w:val="24"/>
        </w:rPr>
        <w:t>规划区位于渑池县，规划范围内山体总面积648.24 km</w:t>
      </w:r>
      <w:r>
        <w:rPr>
          <w:rFonts w:ascii="Times New Roman" w:hAnsi="Times New Roman" w:cs="Times New Roman"/>
          <w:bCs/>
          <w:sz w:val="24"/>
          <w:szCs w:val="24"/>
          <w:vertAlign w:val="superscript"/>
        </w:rPr>
        <w:t>2</w:t>
      </w:r>
      <w:r>
        <w:rPr>
          <w:rFonts w:ascii="Times New Roman" w:hAnsi="Times New Roman" w:cs="Times New Roman"/>
          <w:bCs/>
          <w:sz w:val="24"/>
          <w:szCs w:val="24"/>
        </w:rPr>
        <w:t>。</w:t>
      </w:r>
    </w:p>
    <w:p>
      <w:pPr>
        <w:pStyle w:val="3"/>
        <w:spacing w:after="100" w:afterAutospacing="1" w:line="240" w:lineRule="auto"/>
        <w:jc w:val="center"/>
        <w:rPr>
          <w:rFonts w:ascii="Times New Roman" w:hAnsi="Times New Roman" w:eastAsia="仿宋_GB2312" w:cs="Times New Roman"/>
          <w:sz w:val="28"/>
          <w:szCs w:val="28"/>
        </w:rPr>
      </w:pPr>
      <w:bookmarkStart w:id="8" w:name="_Toc154474096"/>
      <w:r>
        <w:rPr>
          <w:rFonts w:hint="eastAsia" w:ascii="Times New Roman" w:hAnsi="Times New Roman" w:eastAsia="仿宋_GB2312" w:cs="Times New Roman"/>
          <w:sz w:val="28"/>
          <w:szCs w:val="28"/>
        </w:rPr>
        <w:t xml:space="preserve">第六节 </w:t>
      </w:r>
      <w:r>
        <w:rPr>
          <w:rFonts w:ascii="Times New Roman" w:hAnsi="Times New Roman" w:eastAsia="仿宋_GB2312" w:cs="Times New Roman"/>
          <w:sz w:val="28"/>
          <w:szCs w:val="28"/>
        </w:rPr>
        <w:t>规划期限</w:t>
      </w:r>
      <w:bookmarkEnd w:id="8"/>
    </w:p>
    <w:p>
      <w:pPr>
        <w:spacing w:line="580" w:lineRule="exact"/>
        <w:ind w:firstLine="480" w:firstLineChars="200"/>
        <w:rPr>
          <w:rFonts w:ascii="Times New Roman" w:hAnsi="Times New Roman" w:cs="Times New Roman"/>
        </w:rPr>
      </w:pPr>
      <w:bookmarkStart w:id="9" w:name="_Hlk151976647"/>
      <w:r>
        <w:rPr>
          <w:rFonts w:ascii="Times New Roman" w:hAnsi="Times New Roman" w:cs="Times New Roman"/>
          <w:bCs/>
          <w:sz w:val="24"/>
          <w:szCs w:val="24"/>
        </w:rPr>
        <w:t>规划期为2023年～2035年，规划基期年为2022年，其中，近期为2023～2025年；远期为2026～2035年。</w:t>
      </w:r>
    </w:p>
    <w:bookmarkEnd w:id="9"/>
    <w:p>
      <w:pPr>
        <w:pStyle w:val="3"/>
        <w:spacing w:after="100" w:afterAutospacing="1" w:line="240" w:lineRule="auto"/>
        <w:jc w:val="center"/>
        <w:rPr>
          <w:rFonts w:ascii="Times New Roman" w:hAnsi="Times New Roman" w:eastAsia="仿宋_GB2312" w:cs="Times New Roman"/>
          <w:sz w:val="28"/>
          <w:szCs w:val="28"/>
        </w:rPr>
      </w:pPr>
      <w:bookmarkStart w:id="10" w:name="_Toc121474579"/>
      <w:bookmarkStart w:id="11" w:name="_Toc132116697"/>
      <w:bookmarkStart w:id="12" w:name="_Toc154474097"/>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七</w:t>
      </w:r>
      <w:r>
        <w:rPr>
          <w:rFonts w:ascii="Times New Roman" w:hAnsi="Times New Roman" w:eastAsia="仿宋_GB2312" w:cs="Times New Roman"/>
          <w:sz w:val="28"/>
          <w:szCs w:val="28"/>
        </w:rPr>
        <w:t>节 指标体系</w:t>
      </w:r>
      <w:bookmarkEnd w:id="10"/>
      <w:bookmarkEnd w:id="11"/>
      <w:bookmarkEnd w:id="12"/>
    </w:p>
    <w:p>
      <w:pPr>
        <w:spacing w:after="156" w:afterLines="50" w:line="360" w:lineRule="auto"/>
        <w:ind w:firstLine="480" w:firstLineChars="200"/>
        <w:rPr>
          <w:rFonts w:ascii="Times New Roman" w:hAnsi="Times New Roman" w:cs="Times New Roman"/>
          <w:sz w:val="24"/>
        </w:rPr>
      </w:pPr>
      <w:r>
        <w:rPr>
          <w:rFonts w:ascii="Times New Roman" w:hAnsi="Times New Roman" w:cs="Times New Roman"/>
          <w:sz w:val="24"/>
        </w:rPr>
        <w:t>以全省生态修复总体布局为指引，结合全县生态修复需求，以山体修复为主线，综合考虑生态系统的完整性和连通性，依据相关标准，衔接相关规划，在区域生态功能定位、生态现状和生态问题判识基础上，坚持上下衔接、左右协同、精准定位、落实传导的原则，重点从国土空间格局优化、生态保护红线、重要生态系统受损修复、生态系统质量改善、生态系统服务功能提升、规划任务完成考核等方面，合理设定生态修复指标体系，见表1-1。</w:t>
      </w:r>
    </w:p>
    <w:tbl>
      <w:tblPr>
        <w:tblStyle w:val="19"/>
        <w:tblW w:w="8934" w:type="dxa"/>
        <w:jc w:val="center"/>
        <w:tblLayout w:type="autofit"/>
        <w:tblCellMar>
          <w:top w:w="0" w:type="dxa"/>
          <w:left w:w="108" w:type="dxa"/>
          <w:bottom w:w="0" w:type="dxa"/>
          <w:right w:w="108" w:type="dxa"/>
        </w:tblCellMar>
      </w:tblPr>
      <w:tblGrid>
        <w:gridCol w:w="1214"/>
        <w:gridCol w:w="4031"/>
        <w:gridCol w:w="1276"/>
        <w:gridCol w:w="1417"/>
        <w:gridCol w:w="996"/>
      </w:tblGrid>
      <w:tr>
        <w:tblPrEx>
          <w:tblCellMar>
            <w:top w:w="0" w:type="dxa"/>
            <w:left w:w="108" w:type="dxa"/>
            <w:bottom w:w="0" w:type="dxa"/>
            <w:right w:w="108" w:type="dxa"/>
          </w:tblCellMar>
        </w:tblPrEx>
        <w:trPr>
          <w:trHeight w:val="405" w:hRule="atLeast"/>
          <w:jc w:val="center"/>
        </w:trPr>
        <w:tc>
          <w:tcPr>
            <w:tcW w:w="8934" w:type="dxa"/>
            <w:gridSpan w:val="5"/>
            <w:tcBorders>
              <w:bottom w:val="single" w:color="000000" w:sz="6" w:space="0"/>
            </w:tcBorders>
            <w:shd w:val="clear" w:color="auto" w:fill="FFFFFF"/>
            <w:vAlign w:val="center"/>
          </w:tcPr>
          <w:p>
            <w:pPr>
              <w:widowControl/>
              <w:jc w:val="center"/>
              <w:textAlignment w:val="center"/>
              <w:rPr>
                <w:rFonts w:ascii="Times New Roman" w:hAnsi="Times New Roman" w:cs="Times New Roman"/>
                <w:b/>
                <w:bCs/>
                <w:sz w:val="21"/>
                <w:szCs w:val="21"/>
              </w:rPr>
            </w:pPr>
            <w:r>
              <w:rPr>
                <w:rFonts w:ascii="Times New Roman" w:hAnsi="Times New Roman" w:cs="Times New Roman"/>
                <w:b/>
                <w:bCs/>
                <w:kern w:val="0"/>
                <w:sz w:val="21"/>
                <w:szCs w:val="21"/>
                <w:lang w:bidi="ar"/>
              </w:rPr>
              <w:t>表1</w:t>
            </w:r>
            <w:r>
              <w:rPr>
                <w:rFonts w:ascii="Times New Roman" w:hAnsi="Times New Roman" w:cs="Times New Roman"/>
                <w:b/>
                <w:bCs/>
                <w:sz w:val="21"/>
                <w:szCs w:val="21"/>
                <w:lang w:bidi="ar"/>
              </w:rPr>
              <w:t>-1</w:t>
            </w:r>
            <w:r>
              <w:rPr>
                <w:rFonts w:ascii="Times New Roman" w:hAnsi="Times New Roman" w:cs="Times New Roman"/>
                <w:b/>
                <w:bCs/>
                <w:sz w:val="21"/>
                <w:szCs w:val="21"/>
              </w:rPr>
              <w:t xml:space="preserve"> </w:t>
            </w:r>
            <w:r>
              <w:rPr>
                <w:rFonts w:ascii="Times New Roman" w:hAnsi="Times New Roman" w:cs="Times New Roman"/>
                <w:b/>
                <w:bCs/>
                <w:sz w:val="21"/>
                <w:szCs w:val="21"/>
                <w:lang w:bidi="ar"/>
              </w:rPr>
              <w:t>山体保护规划指标表</w:t>
            </w:r>
          </w:p>
        </w:tc>
      </w:tr>
      <w:tr>
        <w:tblPrEx>
          <w:tblCellMar>
            <w:top w:w="0" w:type="dxa"/>
            <w:left w:w="108" w:type="dxa"/>
            <w:bottom w:w="0" w:type="dxa"/>
            <w:right w:w="108" w:type="dxa"/>
          </w:tblCellMar>
        </w:tblPrEx>
        <w:trPr>
          <w:trHeight w:val="285" w:hRule="atLeast"/>
          <w:jc w:val="center"/>
        </w:trPr>
        <w:tc>
          <w:tcPr>
            <w:tcW w:w="1214" w:type="dxa"/>
            <w:tcBorders>
              <w:top w:val="single" w:color="000000" w:sz="6" w:space="0"/>
              <w:left w:val="single" w:color="000000" w:sz="6" w:space="0"/>
              <w:bottom w:val="single" w:color="000000" w:sz="6" w:space="0"/>
              <w:right w:val="single" w:color="000000" w:sz="6" w:space="0"/>
            </w:tcBorders>
            <w:shd w:val="clear" w:color="auto" w:fill="auto"/>
            <w:noWrap/>
            <w:vAlign w:val="center"/>
          </w:tcPr>
          <w:p>
            <w:pPr>
              <w:widowControl/>
              <w:spacing w:line="276" w:lineRule="auto"/>
              <w:jc w:val="center"/>
              <w:textAlignment w:val="center"/>
              <w:rPr>
                <w:rFonts w:ascii="Times New Roman" w:hAnsi="Times New Roman" w:cs="Times New Roman"/>
                <w:b/>
                <w:color w:val="000000"/>
                <w:sz w:val="21"/>
                <w:szCs w:val="21"/>
              </w:rPr>
            </w:pPr>
            <w:r>
              <w:rPr>
                <w:rFonts w:ascii="Times New Roman" w:hAnsi="Times New Roman" w:cs="Times New Roman"/>
                <w:b/>
                <w:color w:val="000000"/>
                <w:kern w:val="0"/>
                <w:sz w:val="21"/>
                <w:szCs w:val="21"/>
                <w:lang w:bidi="ar"/>
              </w:rPr>
              <w:t>指标分类</w:t>
            </w: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
                <w:color w:val="000000"/>
                <w:sz w:val="21"/>
                <w:szCs w:val="21"/>
              </w:rPr>
            </w:pPr>
            <w:r>
              <w:rPr>
                <w:rFonts w:ascii="Times New Roman" w:hAnsi="Times New Roman" w:cs="Times New Roman"/>
                <w:b/>
                <w:color w:val="000000"/>
                <w:kern w:val="0"/>
                <w:sz w:val="21"/>
                <w:szCs w:val="21"/>
                <w:lang w:bidi="ar"/>
              </w:rPr>
              <w:t>指</w:t>
            </w:r>
            <w:r>
              <w:rPr>
                <w:rFonts w:ascii="Times New Roman" w:hAnsi="Times New Roman" w:cs="Times New Roman"/>
                <w:b/>
                <w:color w:val="000000"/>
                <w:sz w:val="21"/>
                <w:szCs w:val="21"/>
                <w:lang w:bidi="ar"/>
              </w:rPr>
              <w:t xml:space="preserve">  标</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
                <w:color w:val="000000"/>
                <w:sz w:val="21"/>
                <w:szCs w:val="21"/>
              </w:rPr>
            </w:pPr>
            <w:r>
              <w:rPr>
                <w:rFonts w:ascii="Times New Roman" w:hAnsi="Times New Roman" w:cs="Times New Roman"/>
                <w:b/>
                <w:color w:val="000000"/>
                <w:kern w:val="0"/>
                <w:sz w:val="21"/>
                <w:szCs w:val="21"/>
                <w:lang w:bidi="ar"/>
              </w:rPr>
              <w:t>2025</w:t>
            </w:r>
            <w:r>
              <w:rPr>
                <w:rFonts w:ascii="Times New Roman" w:hAnsi="Times New Roman" w:cs="Times New Roman"/>
                <w:b/>
                <w:color w:val="000000"/>
                <w:sz w:val="21"/>
                <w:szCs w:val="21"/>
                <w:lang w:bidi="ar"/>
              </w:rPr>
              <w:t>年</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
                <w:sz w:val="21"/>
                <w:szCs w:val="21"/>
              </w:rPr>
            </w:pPr>
            <w:r>
              <w:rPr>
                <w:rFonts w:ascii="Times New Roman" w:hAnsi="Times New Roman" w:cs="Times New Roman"/>
                <w:b/>
                <w:kern w:val="0"/>
                <w:sz w:val="21"/>
                <w:szCs w:val="21"/>
                <w:lang w:bidi="ar"/>
              </w:rPr>
              <w:t>2035</w:t>
            </w:r>
            <w:r>
              <w:rPr>
                <w:rFonts w:ascii="Times New Roman" w:hAnsi="Times New Roman" w:cs="Times New Roman"/>
                <w:b/>
                <w:sz w:val="21"/>
                <w:szCs w:val="21"/>
                <w:lang w:bidi="ar"/>
              </w:rPr>
              <w:t>年</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
                <w:sz w:val="21"/>
                <w:szCs w:val="21"/>
              </w:rPr>
            </w:pPr>
            <w:r>
              <w:rPr>
                <w:rFonts w:ascii="Times New Roman" w:hAnsi="Times New Roman" w:cs="Times New Roman"/>
                <w:b/>
                <w:kern w:val="0"/>
                <w:sz w:val="21"/>
                <w:szCs w:val="21"/>
                <w:lang w:bidi="ar"/>
              </w:rPr>
              <w:t>属</w:t>
            </w:r>
            <w:r>
              <w:rPr>
                <w:rFonts w:ascii="Times New Roman" w:hAnsi="Times New Roman" w:cs="Times New Roman"/>
                <w:b/>
                <w:sz w:val="21"/>
                <w:szCs w:val="21"/>
                <w:lang w:bidi="ar"/>
              </w:rPr>
              <w:t xml:space="preserve">  性</w:t>
            </w:r>
          </w:p>
        </w:tc>
      </w:tr>
      <w:tr>
        <w:tblPrEx>
          <w:tblCellMar>
            <w:top w:w="0" w:type="dxa"/>
            <w:left w:w="108" w:type="dxa"/>
            <w:bottom w:w="0" w:type="dxa"/>
            <w:right w:w="108" w:type="dxa"/>
          </w:tblCellMar>
        </w:tblPrEx>
        <w:trPr>
          <w:trHeight w:val="285" w:hRule="atLeast"/>
          <w:jc w:val="center"/>
        </w:trPr>
        <w:tc>
          <w:tcPr>
            <w:tcW w:w="1214" w:type="dxa"/>
            <w:vMerge w:val="restart"/>
            <w:tcBorders>
              <w:top w:val="single" w:color="000000" w:sz="6" w:space="0"/>
              <w:left w:val="single" w:color="000000" w:sz="6" w:space="0"/>
              <w:right w:val="single" w:color="000000" w:sz="6" w:space="0"/>
            </w:tcBorders>
            <w:shd w:val="clear" w:color="auto" w:fill="auto"/>
            <w:noWrap/>
            <w:vAlign w:val="center"/>
          </w:tcPr>
          <w:p>
            <w:pPr>
              <w:widowControl/>
              <w:spacing w:line="276" w:lineRule="auto"/>
              <w:jc w:val="left"/>
              <w:textAlignment w:val="center"/>
              <w:rPr>
                <w:rFonts w:ascii="Times New Roman" w:hAnsi="Times New Roman" w:cs="Times New Roman"/>
                <w:color w:val="000000"/>
                <w:sz w:val="21"/>
                <w:szCs w:val="21"/>
              </w:rPr>
            </w:pPr>
            <w:r>
              <w:rPr>
                <w:rFonts w:ascii="Times New Roman" w:hAnsi="Times New Roman" w:cs="Times New Roman"/>
                <w:color w:val="000000"/>
                <w:kern w:val="0"/>
                <w:sz w:val="21"/>
                <w:szCs w:val="21"/>
                <w:lang w:bidi="ar"/>
              </w:rPr>
              <w:t>生态质量类</w:t>
            </w: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sz w:val="21"/>
                <w:szCs w:val="21"/>
              </w:rPr>
            </w:pPr>
            <w:r>
              <w:rPr>
                <w:rFonts w:ascii="Times New Roman" w:hAnsi="Times New Roman" w:cs="Times New Roman"/>
                <w:bCs/>
                <w:color w:val="000000"/>
                <w:kern w:val="0"/>
                <w:sz w:val="21"/>
                <w:szCs w:val="21"/>
                <w:lang w:bidi="ar"/>
              </w:rPr>
              <w:t>1.</w:t>
            </w:r>
            <w:r>
              <w:rPr>
                <w:rFonts w:ascii="Times New Roman" w:hAnsi="Times New Roman" w:cs="Times New Roman"/>
                <w:color w:val="000000"/>
                <w:sz w:val="21"/>
                <w:szCs w:val="21"/>
                <w:lang w:bidi="ar"/>
              </w:rPr>
              <w:t>森林覆盖率（%）</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sz w:val="21"/>
                <w:szCs w:val="21"/>
              </w:rPr>
            </w:pPr>
            <w:r>
              <w:rPr>
                <w:rFonts w:ascii="Times New Roman" w:hAnsi="Times New Roman" w:cs="Times New Roman"/>
                <w:bCs/>
                <w:sz w:val="21"/>
                <w:szCs w:val="21"/>
              </w:rPr>
              <w:t>31.9</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rPr>
            </w:pPr>
            <w:r>
              <w:rPr>
                <w:rFonts w:ascii="Times New Roman" w:hAnsi="Times New Roman" w:cs="Times New Roman"/>
                <w:bCs/>
                <w:kern w:val="0"/>
                <w:sz w:val="21"/>
                <w:szCs w:val="21"/>
                <w:lang w:bidi="ar"/>
              </w:rPr>
              <w:t>33.5</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rPr>
            </w:pPr>
            <w:r>
              <w:rPr>
                <w:rFonts w:ascii="Times New Roman" w:hAnsi="Times New Roman" w:cs="Times New Roman"/>
                <w:kern w:val="0"/>
                <w:sz w:val="21"/>
                <w:szCs w:val="21"/>
                <w:lang w:bidi="ar"/>
              </w:rPr>
              <w:t>约束性</w:t>
            </w:r>
          </w:p>
        </w:tc>
      </w:tr>
      <w:tr>
        <w:tblPrEx>
          <w:tblCellMar>
            <w:top w:w="0" w:type="dxa"/>
            <w:left w:w="108" w:type="dxa"/>
            <w:bottom w:w="0" w:type="dxa"/>
            <w:right w:w="108" w:type="dxa"/>
          </w:tblCellMar>
        </w:tblPrEx>
        <w:trPr>
          <w:trHeight w:val="285" w:hRule="atLeast"/>
          <w:jc w:val="center"/>
        </w:trPr>
        <w:tc>
          <w:tcPr>
            <w:tcW w:w="1214" w:type="dxa"/>
            <w:vMerge w:val="continue"/>
            <w:tcBorders>
              <w:left w:val="single" w:color="000000" w:sz="6" w:space="0"/>
              <w:right w:val="single" w:color="000000" w:sz="6" w:space="0"/>
            </w:tcBorders>
            <w:shd w:val="clear" w:color="auto" w:fill="auto"/>
            <w:noWrap/>
            <w:vAlign w:val="center"/>
          </w:tcPr>
          <w:p>
            <w:pPr>
              <w:spacing w:line="276" w:lineRule="auto"/>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sz w:val="21"/>
                <w:szCs w:val="21"/>
              </w:rPr>
            </w:pPr>
            <w:r>
              <w:rPr>
                <w:rFonts w:ascii="Times New Roman" w:hAnsi="Times New Roman" w:cs="Times New Roman"/>
                <w:bCs/>
                <w:color w:val="000000"/>
                <w:kern w:val="0"/>
                <w:sz w:val="21"/>
                <w:szCs w:val="21"/>
                <w:lang w:bidi="ar"/>
              </w:rPr>
              <w:t>2</w:t>
            </w:r>
            <w:r>
              <w:rPr>
                <w:rFonts w:ascii="Times New Roman" w:hAnsi="Times New Roman" w:cs="Times New Roman"/>
                <w:color w:val="000000"/>
                <w:kern w:val="0"/>
                <w:sz w:val="21"/>
                <w:szCs w:val="21"/>
                <w:lang w:bidi="ar"/>
              </w:rPr>
              <w:t>.</w:t>
            </w:r>
            <w:r>
              <w:rPr>
                <w:rFonts w:ascii="Times New Roman" w:hAnsi="Times New Roman" w:cs="Times New Roman"/>
                <w:color w:val="000000"/>
                <w:sz w:val="21"/>
                <w:szCs w:val="21"/>
                <w:lang w:bidi="ar"/>
              </w:rPr>
              <w:t>生态保护红线面积（万公顷）</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rPr>
            </w:pPr>
            <w:r>
              <w:rPr>
                <w:rFonts w:ascii="Times New Roman" w:hAnsi="Times New Roman" w:cs="Times New Roman"/>
                <w:kern w:val="0"/>
                <w:sz w:val="21"/>
                <w:szCs w:val="21"/>
                <w:lang w:bidi="ar"/>
              </w:rPr>
              <w:t>面积不减少</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rPr>
            </w:pPr>
            <w:r>
              <w:rPr>
                <w:rFonts w:ascii="Times New Roman" w:hAnsi="Times New Roman" w:cs="Times New Roman"/>
                <w:kern w:val="0"/>
                <w:sz w:val="21"/>
                <w:szCs w:val="21"/>
                <w:lang w:bidi="ar"/>
              </w:rPr>
              <w:t>面积不减少</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sz w:val="21"/>
                <w:szCs w:val="21"/>
              </w:rPr>
            </w:pPr>
            <w:r>
              <w:rPr>
                <w:rFonts w:ascii="Times New Roman" w:hAnsi="Times New Roman" w:cs="Times New Roman"/>
                <w:color w:val="000000"/>
                <w:kern w:val="0"/>
                <w:sz w:val="21"/>
                <w:szCs w:val="21"/>
                <w:lang w:bidi="ar"/>
              </w:rPr>
              <w:t>约束性</w:t>
            </w:r>
          </w:p>
        </w:tc>
      </w:tr>
      <w:tr>
        <w:tblPrEx>
          <w:tblCellMar>
            <w:top w:w="0" w:type="dxa"/>
            <w:left w:w="108" w:type="dxa"/>
            <w:bottom w:w="0" w:type="dxa"/>
            <w:right w:w="108" w:type="dxa"/>
          </w:tblCellMar>
        </w:tblPrEx>
        <w:trPr>
          <w:trHeight w:val="285" w:hRule="atLeast"/>
          <w:jc w:val="center"/>
        </w:trPr>
        <w:tc>
          <w:tcPr>
            <w:tcW w:w="1214" w:type="dxa"/>
            <w:vMerge w:val="continue"/>
            <w:tcBorders>
              <w:left w:val="single" w:color="000000" w:sz="6" w:space="0"/>
              <w:right w:val="single" w:color="000000" w:sz="6" w:space="0"/>
            </w:tcBorders>
            <w:shd w:val="clear" w:color="auto" w:fill="auto"/>
            <w:noWrap/>
            <w:vAlign w:val="center"/>
          </w:tcPr>
          <w:p>
            <w:pPr>
              <w:spacing w:line="276" w:lineRule="auto"/>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sz w:val="21"/>
                <w:szCs w:val="21"/>
              </w:rPr>
            </w:pPr>
            <w:r>
              <w:rPr>
                <w:rFonts w:ascii="Times New Roman" w:hAnsi="Times New Roman" w:cs="Times New Roman"/>
                <w:color w:val="000000"/>
                <w:kern w:val="0"/>
                <w:sz w:val="21"/>
                <w:szCs w:val="21"/>
                <w:lang w:bidi="ar"/>
              </w:rPr>
              <w:t>3.</w:t>
            </w:r>
            <w:r>
              <w:rPr>
                <w:rFonts w:ascii="Times New Roman" w:hAnsi="Times New Roman" w:cs="Times New Roman"/>
                <w:color w:val="000000"/>
                <w:sz w:val="21"/>
                <w:szCs w:val="21"/>
                <w:lang w:bidi="ar"/>
              </w:rPr>
              <w:t>自然保护地面积占比（%）</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rPr>
            </w:pPr>
            <w:r>
              <w:rPr>
                <w:rFonts w:ascii="Times New Roman" w:hAnsi="Times New Roman" w:cs="Times New Roman"/>
                <w:bCs/>
                <w:kern w:val="0"/>
                <w:sz w:val="21"/>
                <w:szCs w:val="21"/>
                <w:lang w:bidi="ar"/>
              </w:rPr>
              <w:t>3.80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rPr>
            </w:pPr>
            <w:r>
              <w:rPr>
                <w:rFonts w:ascii="Times New Roman" w:hAnsi="Times New Roman" w:cs="Times New Roman"/>
                <w:kern w:val="0"/>
                <w:sz w:val="21"/>
                <w:szCs w:val="21"/>
                <w:lang w:bidi="ar"/>
              </w:rPr>
              <w:t>≥</w:t>
            </w:r>
            <w:r>
              <w:rPr>
                <w:rFonts w:ascii="Times New Roman" w:hAnsi="Times New Roman" w:cs="Times New Roman"/>
                <w:bCs/>
                <w:kern w:val="0"/>
                <w:sz w:val="21"/>
                <w:szCs w:val="21"/>
                <w:lang w:bidi="ar"/>
              </w:rPr>
              <w:t>3.80</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sz w:val="21"/>
                <w:szCs w:val="21"/>
              </w:rPr>
            </w:pPr>
            <w:r>
              <w:rPr>
                <w:rFonts w:ascii="Times New Roman" w:hAnsi="Times New Roman" w:cs="Times New Roman"/>
                <w:color w:val="000000"/>
                <w:kern w:val="0"/>
                <w:sz w:val="21"/>
                <w:szCs w:val="21"/>
                <w:lang w:bidi="ar"/>
              </w:rPr>
              <w:t>预期性</w:t>
            </w:r>
          </w:p>
        </w:tc>
      </w:tr>
      <w:tr>
        <w:tblPrEx>
          <w:tblCellMar>
            <w:top w:w="0" w:type="dxa"/>
            <w:left w:w="108" w:type="dxa"/>
            <w:bottom w:w="0" w:type="dxa"/>
            <w:right w:w="108" w:type="dxa"/>
          </w:tblCellMar>
        </w:tblPrEx>
        <w:trPr>
          <w:trHeight w:val="285" w:hRule="atLeast"/>
          <w:jc w:val="center"/>
        </w:trPr>
        <w:tc>
          <w:tcPr>
            <w:tcW w:w="1214" w:type="dxa"/>
            <w:vMerge w:val="continue"/>
            <w:tcBorders>
              <w:left w:val="single" w:color="000000" w:sz="6" w:space="0"/>
              <w:right w:val="single" w:color="000000" w:sz="6" w:space="0"/>
            </w:tcBorders>
            <w:shd w:val="clear" w:color="auto" w:fill="auto"/>
            <w:noWrap/>
            <w:vAlign w:val="center"/>
          </w:tcPr>
          <w:p>
            <w:pPr>
              <w:widowControl/>
              <w:spacing w:line="276" w:lineRule="auto"/>
              <w:textAlignment w:val="center"/>
              <w:rPr>
                <w:rFonts w:ascii="Times New Roman" w:hAnsi="Times New Roman" w:cs="Times New Roman"/>
                <w:color w:val="000000"/>
                <w:kern w:val="0"/>
                <w:sz w:val="21"/>
                <w:szCs w:val="21"/>
                <w:lang w:bidi="ar"/>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4.生态环境信息公开率</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lang w:bidi="ar"/>
              </w:rPr>
            </w:pPr>
            <w:r>
              <w:rPr>
                <w:rFonts w:ascii="Times New Roman" w:hAnsi="Times New Roman" w:cs="Times New Roman"/>
                <w:bCs/>
                <w:kern w:val="0"/>
                <w:sz w:val="21"/>
                <w:szCs w:val="21"/>
                <w:lang w:bidi="ar"/>
              </w:rPr>
              <w:t>100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lang w:bidi="ar"/>
              </w:rPr>
            </w:pPr>
            <w:r>
              <w:rPr>
                <w:rFonts w:ascii="Times New Roman" w:hAnsi="Times New Roman" w:cs="Times New Roman"/>
                <w:bCs/>
                <w:kern w:val="0"/>
                <w:sz w:val="21"/>
                <w:szCs w:val="21"/>
                <w:lang w:bidi="ar"/>
              </w:rPr>
              <w:t>100</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预期性</w:t>
            </w:r>
          </w:p>
        </w:tc>
      </w:tr>
      <w:tr>
        <w:tblPrEx>
          <w:tblCellMar>
            <w:top w:w="0" w:type="dxa"/>
            <w:left w:w="108" w:type="dxa"/>
            <w:bottom w:w="0" w:type="dxa"/>
            <w:right w:w="108" w:type="dxa"/>
          </w:tblCellMar>
        </w:tblPrEx>
        <w:trPr>
          <w:trHeight w:val="285" w:hRule="atLeast"/>
          <w:jc w:val="center"/>
        </w:trPr>
        <w:tc>
          <w:tcPr>
            <w:tcW w:w="1214" w:type="dxa"/>
            <w:vMerge w:val="continue"/>
            <w:tcBorders>
              <w:left w:val="single" w:color="000000" w:sz="6" w:space="0"/>
              <w:right w:val="single" w:color="000000" w:sz="6" w:space="0"/>
            </w:tcBorders>
            <w:shd w:val="clear" w:color="auto" w:fill="auto"/>
            <w:noWrap/>
            <w:vAlign w:val="center"/>
          </w:tcPr>
          <w:p>
            <w:pPr>
              <w:widowControl/>
              <w:spacing w:line="276" w:lineRule="auto"/>
              <w:textAlignment w:val="center"/>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sz w:val="21"/>
                <w:szCs w:val="21"/>
                <w:lang w:bidi="ar"/>
              </w:rPr>
            </w:pPr>
            <w:r>
              <w:rPr>
                <w:rFonts w:ascii="Times New Roman" w:hAnsi="Times New Roman" w:cs="Times New Roman"/>
                <w:color w:val="000000"/>
                <w:kern w:val="0"/>
                <w:sz w:val="21"/>
                <w:szCs w:val="21"/>
                <w:lang w:bidi="ar"/>
              </w:rPr>
              <w:t>5.</w:t>
            </w:r>
            <w:r>
              <w:rPr>
                <w:rFonts w:ascii="Times New Roman" w:hAnsi="Times New Roman" w:cs="Times New Roman"/>
                <w:color w:val="000000"/>
                <w:sz w:val="21"/>
                <w:szCs w:val="21"/>
                <w:lang w:bidi="ar"/>
              </w:rPr>
              <w:t>国家重点保护野生动物植物保护率（%）</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lang w:bidi="ar"/>
              </w:rPr>
            </w:pPr>
            <w:r>
              <w:rPr>
                <w:rFonts w:ascii="Times New Roman" w:hAnsi="Times New Roman" w:cs="Times New Roman"/>
                <w:bCs/>
                <w:kern w:val="0"/>
                <w:sz w:val="21"/>
                <w:szCs w:val="21"/>
                <w:lang w:bidi="ar"/>
              </w:rPr>
              <w:t>100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lang w:bidi="ar"/>
              </w:rPr>
            </w:pPr>
            <w:r>
              <w:rPr>
                <w:rFonts w:ascii="Times New Roman" w:hAnsi="Times New Roman" w:cs="Times New Roman"/>
                <w:bCs/>
                <w:kern w:val="0"/>
                <w:sz w:val="21"/>
                <w:szCs w:val="21"/>
                <w:lang w:bidi="ar"/>
              </w:rPr>
              <w:t>100</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kern w:val="0"/>
                <w:sz w:val="21"/>
                <w:szCs w:val="21"/>
                <w:lang w:bidi="ar"/>
              </w:rPr>
            </w:pPr>
            <w:r>
              <w:rPr>
                <w:rFonts w:ascii="Times New Roman" w:hAnsi="Times New Roman" w:cs="Times New Roman"/>
                <w:kern w:val="0"/>
                <w:sz w:val="21"/>
                <w:szCs w:val="21"/>
              </w:rPr>
              <w:t>约束性</w:t>
            </w:r>
          </w:p>
        </w:tc>
      </w:tr>
      <w:tr>
        <w:tblPrEx>
          <w:tblCellMar>
            <w:top w:w="0" w:type="dxa"/>
            <w:left w:w="108" w:type="dxa"/>
            <w:bottom w:w="0" w:type="dxa"/>
            <w:right w:w="108" w:type="dxa"/>
          </w:tblCellMar>
        </w:tblPrEx>
        <w:trPr>
          <w:trHeight w:val="285" w:hRule="atLeast"/>
          <w:jc w:val="center"/>
        </w:trPr>
        <w:tc>
          <w:tcPr>
            <w:tcW w:w="1214" w:type="dxa"/>
            <w:vMerge w:val="continue"/>
            <w:tcBorders>
              <w:left w:val="single" w:color="000000" w:sz="6" w:space="0"/>
              <w:bottom w:val="single" w:color="000000" w:sz="6" w:space="0"/>
              <w:right w:val="single" w:color="000000" w:sz="6" w:space="0"/>
            </w:tcBorders>
            <w:shd w:val="clear" w:color="auto" w:fill="auto"/>
            <w:noWrap/>
            <w:vAlign w:val="center"/>
          </w:tcPr>
          <w:p>
            <w:pPr>
              <w:widowControl/>
              <w:spacing w:line="276" w:lineRule="auto"/>
              <w:textAlignment w:val="center"/>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6.</w:t>
            </w:r>
            <w:r>
              <w:rPr>
                <w:rFonts w:hint="eastAsia" w:ascii="Times New Roman" w:hAnsi="Times New Roman" w:cs="Times New Roman"/>
                <w:color w:val="000000"/>
                <w:kern w:val="0"/>
                <w:sz w:val="21"/>
                <w:szCs w:val="21"/>
                <w:lang w:bidi="ar"/>
              </w:rPr>
              <w:t>地表水达到或好于Ⅲ类水体比例（</w:t>
            </w:r>
            <w:r>
              <w:rPr>
                <w:rFonts w:ascii="Times New Roman" w:hAnsi="Times New Roman" w:cs="Times New Roman"/>
                <w:color w:val="000000"/>
                <w:kern w:val="0"/>
                <w:sz w:val="21"/>
                <w:szCs w:val="21"/>
                <w:lang w:bidi="ar"/>
              </w:rPr>
              <w:t>%）</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kern w:val="0"/>
                <w:sz w:val="21"/>
                <w:szCs w:val="21"/>
                <w:lang w:bidi="ar"/>
              </w:rPr>
            </w:pPr>
            <w:r>
              <w:rPr>
                <w:rFonts w:hint="eastAsia" w:ascii="Times New Roman" w:hAnsi="Times New Roman" w:cs="Times New Roman"/>
                <w:bCs/>
                <w:kern w:val="0"/>
                <w:sz w:val="21"/>
                <w:szCs w:val="21"/>
                <w:lang w:bidi="ar"/>
              </w:rPr>
              <w:t>按市下达目标</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kern w:val="0"/>
                <w:sz w:val="21"/>
                <w:szCs w:val="21"/>
                <w:lang w:bidi="ar"/>
              </w:rPr>
            </w:pPr>
            <w:r>
              <w:rPr>
                <w:rFonts w:hint="eastAsia" w:ascii="Times New Roman" w:hAnsi="Times New Roman" w:cs="Times New Roman"/>
                <w:bCs/>
                <w:kern w:val="0"/>
                <w:sz w:val="21"/>
                <w:szCs w:val="21"/>
                <w:lang w:bidi="ar"/>
              </w:rPr>
              <w:t>按市下达目标</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kern w:val="0"/>
                <w:sz w:val="21"/>
                <w:szCs w:val="21"/>
              </w:rPr>
            </w:pPr>
            <w:r>
              <w:rPr>
                <w:rFonts w:hint="eastAsia" w:ascii="Times New Roman" w:hAnsi="Times New Roman" w:cs="Times New Roman"/>
                <w:kern w:val="0"/>
                <w:sz w:val="21"/>
                <w:szCs w:val="21"/>
              </w:rPr>
              <w:t>约束性</w:t>
            </w:r>
          </w:p>
        </w:tc>
      </w:tr>
      <w:tr>
        <w:tblPrEx>
          <w:tblCellMar>
            <w:top w:w="0" w:type="dxa"/>
            <w:left w:w="108" w:type="dxa"/>
            <w:bottom w:w="0" w:type="dxa"/>
            <w:right w:w="108" w:type="dxa"/>
          </w:tblCellMar>
        </w:tblPrEx>
        <w:trPr>
          <w:trHeight w:val="285" w:hRule="atLeast"/>
          <w:jc w:val="center"/>
        </w:trPr>
        <w:tc>
          <w:tcPr>
            <w:tcW w:w="1214" w:type="dxa"/>
            <w:vMerge w:val="restart"/>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276" w:lineRule="auto"/>
              <w:rPr>
                <w:rFonts w:ascii="Times New Roman" w:hAnsi="Times New Roman" w:cs="Times New Roman"/>
                <w:color w:val="000000"/>
                <w:kern w:val="0"/>
                <w:sz w:val="21"/>
                <w:szCs w:val="21"/>
                <w:lang w:bidi="ar"/>
              </w:rPr>
            </w:pPr>
            <w:r>
              <w:rPr>
                <w:rFonts w:ascii="Times New Roman" w:hAnsi="Times New Roman" w:cs="Times New Roman"/>
                <w:color w:val="000000"/>
                <w:sz w:val="21"/>
                <w:szCs w:val="21"/>
              </w:rPr>
              <w:t>修复治理类</w:t>
            </w: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sz w:val="21"/>
                <w:szCs w:val="21"/>
                <w:lang w:bidi="ar"/>
              </w:rPr>
            </w:pPr>
            <w:r>
              <w:rPr>
                <w:rFonts w:ascii="Times New Roman" w:hAnsi="Times New Roman" w:cs="Times New Roman"/>
                <w:color w:val="000000"/>
                <w:sz w:val="21"/>
                <w:szCs w:val="21"/>
                <w:lang w:bidi="ar"/>
              </w:rPr>
              <w:t>7.</w:t>
            </w:r>
            <w:r>
              <w:rPr>
                <w:rFonts w:hint="eastAsia" w:ascii="Times New Roman" w:hAnsi="Times New Roman" w:cs="Times New Roman"/>
                <w:color w:val="000000"/>
                <w:sz w:val="21"/>
                <w:szCs w:val="21"/>
                <w:lang w:bidi="ar"/>
              </w:rPr>
              <w:t>“三区两线”历史遗留矿山地质环境治理率</w:t>
            </w:r>
            <w:r>
              <w:rPr>
                <w:rFonts w:ascii="Times New Roman" w:hAnsi="Times New Roman" w:cs="Times New Roman"/>
                <w:color w:val="000000"/>
                <w:sz w:val="21"/>
                <w:szCs w:val="21"/>
                <w:lang w:bidi="ar"/>
              </w:rPr>
              <w:t>（%）</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lang w:bidi="ar"/>
              </w:rPr>
            </w:pPr>
            <w:r>
              <w:rPr>
                <w:rFonts w:hint="eastAsia" w:ascii="Times New Roman" w:hAnsi="Times New Roman" w:cs="Times New Roman"/>
                <w:sz w:val="21"/>
                <w:szCs w:val="21"/>
                <w:lang w:bidi="ar"/>
              </w:rPr>
              <w:t>1</w:t>
            </w:r>
            <w:r>
              <w:rPr>
                <w:rFonts w:ascii="Times New Roman" w:hAnsi="Times New Roman" w:cs="Times New Roman"/>
                <w:sz w:val="21"/>
                <w:szCs w:val="21"/>
                <w:lang w:bidi="ar"/>
              </w:rPr>
              <w:t>00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sz w:val="21"/>
                <w:szCs w:val="21"/>
                <w:lang w:bidi="ar"/>
              </w:rPr>
            </w:pPr>
            <w:r>
              <w:rPr>
                <w:rFonts w:hint="eastAsia" w:ascii="Times New Roman" w:hAnsi="Times New Roman" w:cs="Times New Roman"/>
                <w:sz w:val="21"/>
                <w:szCs w:val="21"/>
                <w:lang w:bidi="ar"/>
              </w:rPr>
              <w:t>-</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约束性</w:t>
            </w:r>
          </w:p>
        </w:tc>
      </w:tr>
      <w:tr>
        <w:tblPrEx>
          <w:tblCellMar>
            <w:top w:w="0" w:type="dxa"/>
            <w:left w:w="108" w:type="dxa"/>
            <w:bottom w:w="0" w:type="dxa"/>
            <w:right w:w="108" w:type="dxa"/>
          </w:tblCellMar>
        </w:tblPrEx>
        <w:trPr>
          <w:trHeight w:val="285" w:hRule="atLeast"/>
          <w:jc w:val="center"/>
        </w:trPr>
        <w:tc>
          <w:tcPr>
            <w:tcW w:w="1214"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276" w:lineRule="auto"/>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8.</w:t>
            </w:r>
            <w:r>
              <w:rPr>
                <w:rFonts w:hint="eastAsia" w:ascii="Times New Roman" w:hAnsi="Times New Roman" w:cs="Times New Roman"/>
                <w:color w:val="000000"/>
                <w:kern w:val="0"/>
                <w:sz w:val="21"/>
                <w:szCs w:val="21"/>
                <w:lang w:bidi="ar"/>
              </w:rPr>
              <w:t>其他区域历史遗留矿山地质环境治理率</w:t>
            </w:r>
            <w:r>
              <w:rPr>
                <w:rFonts w:ascii="Times New Roman" w:hAnsi="Times New Roman" w:cs="Times New Roman"/>
                <w:color w:val="000000"/>
                <w:kern w:val="0"/>
                <w:sz w:val="21"/>
                <w:szCs w:val="21"/>
                <w:lang w:bidi="ar"/>
              </w:rPr>
              <w:t>（%）</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kern w:val="0"/>
                <w:sz w:val="21"/>
                <w:szCs w:val="21"/>
                <w:lang w:bidi="ar"/>
              </w:rPr>
            </w:pPr>
            <w:r>
              <w:rPr>
                <w:rFonts w:ascii="Times New Roman" w:hAnsi="Times New Roman" w:cs="Times New Roman"/>
                <w:bCs/>
                <w:kern w:val="0"/>
                <w:sz w:val="21"/>
                <w:szCs w:val="21"/>
                <w:lang w:bidi="ar"/>
              </w:rPr>
              <w:t>100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kern w:val="0"/>
                <w:sz w:val="21"/>
                <w:szCs w:val="21"/>
                <w:lang w:bidi="ar"/>
              </w:rPr>
            </w:pPr>
            <w:r>
              <w:rPr>
                <w:rFonts w:ascii="Times New Roman" w:hAnsi="Times New Roman" w:cs="Times New Roman"/>
                <w:bCs/>
                <w:kern w:val="0"/>
                <w:sz w:val="21"/>
                <w:szCs w:val="21"/>
                <w:lang w:bidi="ar"/>
              </w:rPr>
              <w:t>-</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约束性</w:t>
            </w:r>
          </w:p>
        </w:tc>
      </w:tr>
      <w:tr>
        <w:tblPrEx>
          <w:tblCellMar>
            <w:top w:w="0" w:type="dxa"/>
            <w:left w:w="108" w:type="dxa"/>
            <w:bottom w:w="0" w:type="dxa"/>
            <w:right w:w="108" w:type="dxa"/>
          </w:tblCellMar>
        </w:tblPrEx>
        <w:trPr>
          <w:trHeight w:val="285" w:hRule="atLeast"/>
          <w:jc w:val="center"/>
        </w:trPr>
        <w:tc>
          <w:tcPr>
            <w:tcW w:w="1214"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276" w:lineRule="auto"/>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9.</w:t>
            </w:r>
            <w:r>
              <w:rPr>
                <w:rFonts w:hint="eastAsia" w:ascii="Times New Roman" w:hAnsi="Times New Roman" w:cs="Times New Roman"/>
                <w:color w:val="000000"/>
                <w:kern w:val="0"/>
                <w:sz w:val="21"/>
                <w:szCs w:val="21"/>
                <w:lang w:bidi="ar"/>
              </w:rPr>
              <w:t>政策性关闭矿山地质环境治理率</w:t>
            </w:r>
            <w:r>
              <w:rPr>
                <w:rFonts w:ascii="Times New Roman" w:hAnsi="Times New Roman" w:cs="Times New Roman"/>
                <w:color w:val="000000"/>
                <w:kern w:val="0"/>
                <w:sz w:val="21"/>
                <w:szCs w:val="21"/>
                <w:lang w:bidi="ar"/>
              </w:rPr>
              <w:t>（%）</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color w:val="FF0000"/>
                <w:kern w:val="0"/>
                <w:sz w:val="21"/>
                <w:szCs w:val="21"/>
                <w:lang w:bidi="ar"/>
              </w:rPr>
            </w:pPr>
            <w:r>
              <w:rPr>
                <w:rFonts w:ascii="Times New Roman" w:hAnsi="Times New Roman" w:cs="Times New Roman"/>
                <w:bCs/>
                <w:kern w:val="0"/>
                <w:sz w:val="21"/>
                <w:szCs w:val="21"/>
                <w:lang w:bidi="ar"/>
              </w:rPr>
              <w:t>100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color w:val="FF0000"/>
                <w:kern w:val="0"/>
                <w:sz w:val="21"/>
                <w:szCs w:val="21"/>
                <w:lang w:bidi="ar"/>
              </w:rPr>
            </w:pPr>
            <w:r>
              <w:rPr>
                <w:rFonts w:ascii="Times New Roman" w:hAnsi="Times New Roman" w:cs="Times New Roman"/>
                <w:bCs/>
                <w:kern w:val="0"/>
                <w:sz w:val="21"/>
                <w:szCs w:val="21"/>
                <w:lang w:bidi="ar"/>
              </w:rPr>
              <w:t>-</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约束性</w:t>
            </w:r>
          </w:p>
        </w:tc>
      </w:tr>
      <w:tr>
        <w:tblPrEx>
          <w:tblCellMar>
            <w:top w:w="0" w:type="dxa"/>
            <w:left w:w="108" w:type="dxa"/>
            <w:bottom w:w="0" w:type="dxa"/>
            <w:right w:w="108" w:type="dxa"/>
          </w:tblCellMar>
        </w:tblPrEx>
        <w:trPr>
          <w:trHeight w:val="285" w:hRule="atLeast"/>
          <w:jc w:val="center"/>
        </w:trPr>
        <w:tc>
          <w:tcPr>
            <w:tcW w:w="1214" w:type="dxa"/>
            <w:vMerge w:val="continue"/>
            <w:tcBorders>
              <w:top w:val="single" w:color="000000" w:sz="6" w:space="0"/>
              <w:left w:val="single" w:color="000000" w:sz="6" w:space="0"/>
              <w:bottom w:val="single" w:color="000000" w:sz="6" w:space="0"/>
              <w:right w:val="single" w:color="000000" w:sz="6" w:space="0"/>
            </w:tcBorders>
            <w:shd w:val="clear" w:color="auto" w:fill="auto"/>
            <w:noWrap/>
            <w:vAlign w:val="center"/>
          </w:tcPr>
          <w:p>
            <w:pPr>
              <w:spacing w:line="276" w:lineRule="auto"/>
              <w:rPr>
                <w:rFonts w:ascii="Times New Roman" w:hAnsi="Times New Roman" w:cs="Times New Roman"/>
                <w:color w:val="000000"/>
                <w:sz w:val="21"/>
                <w:szCs w:val="21"/>
              </w:rPr>
            </w:pPr>
          </w:p>
        </w:tc>
        <w:tc>
          <w:tcPr>
            <w:tcW w:w="4031"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textAlignment w:val="center"/>
              <w:rPr>
                <w:rFonts w:ascii="Times New Roman" w:hAnsi="Times New Roman" w:cs="Times New Roman"/>
                <w:color w:val="000000"/>
                <w:kern w:val="0"/>
                <w:sz w:val="21"/>
                <w:szCs w:val="21"/>
                <w:lang w:bidi="ar"/>
              </w:rPr>
            </w:pPr>
            <w:r>
              <w:rPr>
                <w:rFonts w:hint="eastAsia" w:ascii="Times New Roman" w:hAnsi="Times New Roman" w:cs="Times New Roman"/>
                <w:color w:val="000000"/>
                <w:kern w:val="0"/>
                <w:sz w:val="21"/>
                <w:szCs w:val="21"/>
                <w:lang w:bidi="ar"/>
              </w:rPr>
              <w:t>1</w:t>
            </w:r>
            <w:r>
              <w:rPr>
                <w:rFonts w:ascii="Times New Roman" w:hAnsi="Times New Roman" w:cs="Times New Roman"/>
                <w:color w:val="000000"/>
                <w:kern w:val="0"/>
                <w:sz w:val="21"/>
                <w:szCs w:val="21"/>
                <w:lang w:bidi="ar"/>
              </w:rPr>
              <w:t>0.</w:t>
            </w:r>
            <w:r>
              <w:rPr>
                <w:rFonts w:hint="eastAsia" w:ascii="Times New Roman" w:hAnsi="Times New Roman" w:cs="Times New Roman"/>
                <w:color w:val="000000"/>
                <w:kern w:val="0"/>
                <w:sz w:val="21"/>
                <w:szCs w:val="21"/>
                <w:lang w:bidi="ar"/>
              </w:rPr>
              <w:t>生产矿山实行边开采边治理，矿区关闭或停止使用区域矿山地质环境治理率</w:t>
            </w:r>
            <w:r>
              <w:rPr>
                <w:rFonts w:ascii="Times New Roman" w:hAnsi="Times New Roman" w:cs="Times New Roman"/>
                <w:color w:val="000000"/>
                <w:kern w:val="0"/>
                <w:sz w:val="21"/>
                <w:szCs w:val="21"/>
                <w:lang w:bidi="ar"/>
              </w:rPr>
              <w:t>（%）</w:t>
            </w:r>
          </w:p>
        </w:tc>
        <w:tc>
          <w:tcPr>
            <w:tcW w:w="127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color w:val="FF0000"/>
                <w:kern w:val="0"/>
                <w:sz w:val="21"/>
                <w:szCs w:val="21"/>
                <w:lang w:bidi="ar"/>
              </w:rPr>
            </w:pPr>
            <w:r>
              <w:rPr>
                <w:rFonts w:ascii="Times New Roman" w:hAnsi="Times New Roman" w:cs="Times New Roman"/>
                <w:bCs/>
                <w:kern w:val="0"/>
                <w:sz w:val="21"/>
                <w:szCs w:val="21"/>
                <w:lang w:bidi="ar"/>
              </w:rPr>
              <w:t>100</w:t>
            </w:r>
          </w:p>
        </w:tc>
        <w:tc>
          <w:tcPr>
            <w:tcW w:w="1417"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bCs/>
                <w:color w:val="FF0000"/>
                <w:kern w:val="0"/>
                <w:sz w:val="21"/>
                <w:szCs w:val="21"/>
                <w:lang w:bidi="ar"/>
              </w:rPr>
            </w:pPr>
            <w:r>
              <w:rPr>
                <w:rFonts w:ascii="Times New Roman" w:hAnsi="Times New Roman" w:cs="Times New Roman"/>
                <w:bCs/>
                <w:kern w:val="0"/>
                <w:sz w:val="21"/>
                <w:szCs w:val="21"/>
                <w:lang w:bidi="ar"/>
              </w:rPr>
              <w:t>-</w:t>
            </w:r>
          </w:p>
        </w:tc>
        <w:tc>
          <w:tcPr>
            <w:tcW w:w="996"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276" w:lineRule="auto"/>
              <w:jc w:val="center"/>
              <w:textAlignment w:val="center"/>
              <w:rPr>
                <w:rFonts w:ascii="Times New Roman" w:hAnsi="Times New Roman" w:cs="Times New Roman"/>
                <w:color w:val="000000"/>
                <w:kern w:val="0"/>
                <w:sz w:val="21"/>
                <w:szCs w:val="21"/>
                <w:lang w:bidi="ar"/>
              </w:rPr>
            </w:pPr>
            <w:r>
              <w:rPr>
                <w:rFonts w:ascii="Times New Roman" w:hAnsi="Times New Roman" w:cs="Times New Roman"/>
                <w:color w:val="000000"/>
                <w:kern w:val="0"/>
                <w:sz w:val="21"/>
                <w:szCs w:val="21"/>
                <w:lang w:bidi="ar"/>
              </w:rPr>
              <w:t>约束性</w:t>
            </w:r>
          </w:p>
        </w:tc>
      </w:tr>
    </w:tbl>
    <w:p>
      <w:pPr>
        <w:widowControl/>
        <w:jc w:val="left"/>
        <w:rPr>
          <w:rFonts w:ascii="Times New Roman" w:hAnsi="Times New Roman" w:eastAsia="仿宋_GB2312" w:cs="Times New Roman"/>
          <w:sz w:val="30"/>
          <w:szCs w:val="30"/>
        </w:rPr>
      </w:pPr>
      <w:bookmarkStart w:id="13" w:name="_Toc154474098"/>
    </w:p>
    <w:p>
      <w:pPr>
        <w:widowControl/>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第</w:t>
      </w:r>
      <w:r>
        <w:rPr>
          <w:rFonts w:hint="eastAsia" w:ascii="Times New Roman" w:hAnsi="Times New Roman" w:eastAsia="仿宋_GB2312" w:cs="Times New Roman"/>
          <w:sz w:val="30"/>
          <w:szCs w:val="30"/>
        </w:rPr>
        <w:t>二</w:t>
      </w:r>
      <w:r>
        <w:rPr>
          <w:rFonts w:ascii="Times New Roman" w:hAnsi="Times New Roman" w:eastAsia="仿宋_GB2312" w:cs="Times New Roman"/>
          <w:sz w:val="30"/>
          <w:szCs w:val="30"/>
        </w:rPr>
        <w:t>章</w:t>
      </w:r>
      <w:r>
        <w:rPr>
          <w:rFonts w:hint="eastAsia" w:ascii="Times New Roman" w:hAnsi="Times New Roman" w:eastAsia="仿宋_GB2312" w:cs="Times New Roman"/>
          <w:sz w:val="30"/>
          <w:szCs w:val="30"/>
        </w:rPr>
        <w:t xml:space="preserve"> 山体</w:t>
      </w:r>
      <w:r>
        <w:rPr>
          <w:rFonts w:ascii="Times New Roman" w:hAnsi="Times New Roman" w:eastAsia="仿宋_GB2312" w:cs="Times New Roman"/>
          <w:sz w:val="30"/>
          <w:szCs w:val="30"/>
        </w:rPr>
        <w:t>现状</w:t>
      </w:r>
      <w:bookmarkEnd w:id="13"/>
    </w:p>
    <w:p>
      <w:pPr>
        <w:pStyle w:val="3"/>
        <w:jc w:val="center"/>
        <w:rPr>
          <w:rFonts w:ascii="Times New Roman" w:hAnsi="Times New Roman" w:eastAsia="仿宋_GB2312" w:cs="Times New Roman"/>
          <w:sz w:val="28"/>
          <w:szCs w:val="28"/>
        </w:rPr>
      </w:pPr>
      <w:bookmarkStart w:id="14" w:name="_Toc154474099"/>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一</w:t>
      </w:r>
      <w:r>
        <w:rPr>
          <w:rFonts w:ascii="Times New Roman" w:hAnsi="Times New Roman" w:eastAsia="仿宋_GB2312" w:cs="Times New Roman"/>
          <w:sz w:val="28"/>
          <w:szCs w:val="28"/>
        </w:rPr>
        <w:t>节</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山体</w:t>
      </w:r>
      <w:r>
        <w:rPr>
          <w:rFonts w:hint="eastAsia" w:ascii="Times New Roman" w:hAnsi="Times New Roman" w:eastAsia="仿宋_GB2312" w:cs="Times New Roman"/>
          <w:sz w:val="28"/>
          <w:szCs w:val="28"/>
        </w:rPr>
        <w:t>和资源现状</w:t>
      </w:r>
      <w:bookmarkEnd w:id="14"/>
    </w:p>
    <w:p>
      <w:pPr>
        <w:spacing w:before="156" w:beforeLines="50" w:after="156" w:afterLines="50" w:line="360" w:lineRule="auto"/>
        <w:ind w:firstLine="480" w:firstLineChars="200"/>
        <w:rPr>
          <w:rFonts w:ascii="Times New Roman" w:hAnsi="Times New Roman" w:cs="Times New Roman"/>
          <w:bCs/>
          <w:sz w:val="24"/>
          <w:szCs w:val="24"/>
        </w:rPr>
      </w:pPr>
      <w:r>
        <w:rPr>
          <w:rFonts w:ascii="Times New Roman" w:hAnsi="Times New Roman" w:cs="Times New Roman"/>
          <w:bCs/>
          <w:sz w:val="24"/>
          <w:szCs w:val="24"/>
        </w:rPr>
        <w:t>渑池山区属秦岭余脉的崤山段，市级山体属崤山东部山脉，主要山体分布于渑池县中部及北部</w:t>
      </w:r>
      <w:r>
        <w:rPr>
          <w:rFonts w:hint="eastAsia" w:ascii="Times New Roman" w:hAnsi="Times New Roman" w:cs="Times New Roman"/>
          <w:bCs/>
          <w:sz w:val="24"/>
          <w:szCs w:val="24"/>
        </w:rPr>
        <w:t>。渑池县南北地貌差异很大，整体呈北高南低之势。全县以中部的涧河为界，向北渐高，由海拔</w:t>
      </w:r>
      <w:r>
        <w:rPr>
          <w:rFonts w:ascii="Times New Roman" w:hAnsi="Times New Roman" w:cs="Times New Roman"/>
          <w:bCs/>
          <w:sz w:val="24"/>
          <w:szCs w:val="24"/>
        </w:rPr>
        <w:t>500 m升至1000 m以上，再往北，山脉连绵数十里后陡降为黄河中游谷地，海拔只有200 m。涧河以南突兀成岭，呈东西向起伏，南北冲沟发育，由东而西，从海拔400 m上升到700 m左右。特别是北部中低山地，断层交错、沟谷发育、切割深度达200-500 m。按地貌形态分为构造中山地貌、剥蚀低山地貌、剥蚀丘陵地貌、河谷阶地地貌。</w:t>
      </w:r>
    </w:p>
    <w:p>
      <w:pPr>
        <w:spacing w:before="156" w:beforeLines="50" w:after="156" w:afterLines="50" w:line="360" w:lineRule="auto"/>
        <w:ind w:firstLine="480" w:firstLineChars="200"/>
        <w:rPr>
          <w:rFonts w:ascii="Times New Roman" w:hAnsi="Times New Roman" w:cs="Times New Roman"/>
          <w:bCs/>
          <w:sz w:val="24"/>
          <w:szCs w:val="24"/>
        </w:rPr>
      </w:pPr>
      <w:r>
        <w:rPr>
          <w:rFonts w:ascii="Times New Roman" w:hAnsi="Times New Roman" w:cs="Times New Roman"/>
          <w:bCs/>
          <w:sz w:val="24"/>
          <w:szCs w:val="24"/>
        </w:rPr>
        <w:t>渑池县山体</w:t>
      </w:r>
      <w:r>
        <w:rPr>
          <w:rFonts w:hint="eastAsia" w:ascii="Times New Roman" w:hAnsi="Times New Roman" w:cs="Times New Roman"/>
          <w:bCs/>
          <w:sz w:val="24"/>
          <w:szCs w:val="24"/>
        </w:rPr>
        <w:t>总</w:t>
      </w:r>
      <w:r>
        <w:rPr>
          <w:rFonts w:ascii="Times New Roman" w:hAnsi="Times New Roman" w:cs="Times New Roman"/>
          <w:bCs/>
          <w:sz w:val="24"/>
          <w:szCs w:val="24"/>
        </w:rPr>
        <w:t>面积</w:t>
      </w:r>
      <w:r>
        <w:rPr>
          <w:rFonts w:hint="eastAsia" w:ascii="Times New Roman" w:hAnsi="Times New Roman" w:cs="Times New Roman"/>
          <w:bCs/>
          <w:sz w:val="24"/>
          <w:szCs w:val="24"/>
        </w:rPr>
        <w:t>为</w:t>
      </w:r>
      <w:r>
        <w:rPr>
          <w:rFonts w:ascii="Times New Roman" w:hAnsi="Times New Roman" w:cs="Times New Roman"/>
          <w:bCs/>
          <w:sz w:val="24"/>
          <w:szCs w:val="24"/>
        </w:rPr>
        <w:t>648.24 km</w:t>
      </w:r>
      <w:r>
        <w:rPr>
          <w:rFonts w:ascii="Times New Roman" w:hAnsi="Times New Roman" w:cs="Times New Roman"/>
          <w:bCs/>
          <w:sz w:val="24"/>
          <w:szCs w:val="24"/>
          <w:vertAlign w:val="superscript"/>
        </w:rPr>
        <w:t>2</w:t>
      </w:r>
      <w:r>
        <w:rPr>
          <w:rFonts w:ascii="Times New Roman" w:hAnsi="Times New Roman" w:cs="Times New Roman"/>
          <w:bCs/>
          <w:sz w:val="24"/>
          <w:szCs w:val="24"/>
        </w:rPr>
        <w:t>，占渑池县总面积的47.73%，</w:t>
      </w:r>
      <w:r>
        <w:rPr>
          <w:rFonts w:hint="eastAsia" w:ascii="Times New Roman" w:hAnsi="Times New Roman" w:cs="Times New Roman"/>
          <w:bCs/>
          <w:sz w:val="24"/>
          <w:szCs w:val="24"/>
        </w:rPr>
        <w:t>共划分</w:t>
      </w:r>
      <w:r>
        <w:rPr>
          <w:rFonts w:ascii="Times New Roman" w:hAnsi="Times New Roman" w:cs="Times New Roman"/>
          <w:bCs/>
          <w:sz w:val="24"/>
          <w:szCs w:val="24"/>
        </w:rPr>
        <w:t>5个县级山体、16个乡级山体、132个村级山体。</w:t>
      </w:r>
    </w:p>
    <w:p>
      <w:pPr>
        <w:spacing w:after="50"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（一）山体森林资源</w:t>
      </w:r>
    </w:p>
    <w:p>
      <w:pPr>
        <w:spacing w:before="156" w:beforeLines="50" w:after="156" w:afterLines="50" w:line="360" w:lineRule="auto"/>
        <w:ind w:firstLine="480" w:firstLineChars="200"/>
        <w:rPr>
          <w:rFonts w:cs="Times New Roman"/>
          <w:color w:val="000000"/>
        </w:rPr>
      </w:pPr>
      <w:r>
        <w:rPr>
          <w:rFonts w:ascii="Times New Roman" w:hAnsi="Times New Roman" w:cs="Times New Roman"/>
          <w:bCs/>
          <w:sz w:val="24"/>
          <w:szCs w:val="24"/>
        </w:rPr>
        <w:t>渑池县山体内林业用地总面积55585.35公顷，覆盖率85.75%。</w:t>
      </w:r>
      <w:r>
        <w:rPr>
          <w:rFonts w:hint="eastAsia" w:ascii="Times New Roman" w:hAnsi="Times New Roman" w:cs="Times New Roman"/>
          <w:bCs/>
          <w:sz w:val="24"/>
          <w:szCs w:val="24"/>
        </w:rPr>
        <w:t>按</w:t>
      </w:r>
      <w:r>
        <w:rPr>
          <w:rFonts w:ascii="Times New Roman" w:hAnsi="Times New Roman" w:cs="Times New Roman"/>
          <w:bCs/>
          <w:sz w:val="24"/>
          <w:szCs w:val="24"/>
        </w:rPr>
        <w:t>森林类别，重点公益林面积共计32881.88公顷，一般公益林面积共计4290.36公顷，重点商品林面积共计6444.66公顷，一般商品林面积共计11968.46公顷。</w:t>
      </w:r>
      <w:r>
        <w:rPr>
          <w:rFonts w:hint="eastAsia" w:ascii="Times New Roman" w:hAnsi="Times New Roman" w:cs="Times New Roman"/>
          <w:bCs/>
          <w:sz w:val="24"/>
          <w:szCs w:val="24"/>
        </w:rPr>
        <w:t>按</w:t>
      </w:r>
      <w:r>
        <w:rPr>
          <w:rFonts w:ascii="Times New Roman" w:hAnsi="Times New Roman" w:cs="Times New Roman"/>
          <w:bCs/>
          <w:sz w:val="24"/>
          <w:szCs w:val="24"/>
        </w:rPr>
        <w:t>林种，防护林面积共计33482.36公顷，经济林面积共计822.48公顷，特种用途林面积共计139.68公顷，薪炭林面积共计9060.35公顷，用材林面积共计4235.32公顷。</w:t>
      </w:r>
    </w:p>
    <w:p>
      <w:pPr>
        <w:pStyle w:val="34"/>
        <w:spacing w:after="0" w:line="360" w:lineRule="auto"/>
        <w:ind w:left="0" w:leftChars="0" w:firstLine="480"/>
        <w:rPr>
          <w:rFonts w:ascii="Times New Roman" w:hAnsi="Times New Roman" w:eastAsia="仿宋_GB2312"/>
          <w:sz w:val="24"/>
        </w:rPr>
      </w:pPr>
      <w:r>
        <w:rPr>
          <w:rFonts w:ascii="Times New Roman" w:hAnsi="Times New Roman" w:eastAsia="仿宋_GB2312"/>
          <w:sz w:val="24"/>
        </w:rPr>
        <w:t>（二）山体水资源</w:t>
      </w:r>
    </w:p>
    <w:p>
      <w:pPr>
        <w:pStyle w:val="8"/>
        <w:spacing w:before="120" w:after="120"/>
        <w:ind w:firstLine="480"/>
        <w:jc w:val="both"/>
        <w:rPr>
          <w:rFonts w:eastAsia="仿宋_GB2312" w:cs="Times New Roman"/>
          <w:color w:val="000000"/>
        </w:rPr>
      </w:pPr>
      <w:r>
        <w:rPr>
          <w:rFonts w:hint="eastAsia" w:eastAsia="仿宋_GB2312" w:cs="Times New Roman"/>
          <w:color w:val="000000"/>
        </w:rPr>
        <w:t>渑池县河流属于黄河流域，山体内主要河流有黄河、洪阳河、涧口河等。黄河沿县界蜿蜒曲折自西向东流去，河谷狭窄，河岸陡峭，支流发育。渑池县的蒸发量远大于降雨量，地表径流流量较小，地表水水资源比较匮乏，主要供水水源为地下水。</w:t>
      </w:r>
    </w:p>
    <w:p>
      <w:pPr>
        <w:pStyle w:val="8"/>
        <w:spacing w:before="120" w:after="120"/>
        <w:ind w:firstLine="480"/>
        <w:jc w:val="both"/>
        <w:rPr>
          <w:rFonts w:eastAsia="仿宋_GB2312" w:cs="Times New Roman"/>
          <w:color w:val="000000"/>
          <w:lang w:bidi="ar-SA"/>
        </w:rPr>
      </w:pPr>
      <w:r>
        <w:rPr>
          <w:rFonts w:eastAsia="仿宋_GB2312" w:cs="Times New Roman"/>
          <w:color w:val="000000"/>
        </w:rPr>
        <w:t>渑池县山体内水域及水利设施用地面积共计407.31</w:t>
      </w:r>
      <w:r>
        <w:rPr>
          <w:rFonts w:eastAsia="仿宋_GB2312" w:cs="Times New Roman"/>
          <w:color w:val="000000"/>
          <w:lang w:bidi="ar-SA"/>
        </w:rPr>
        <w:t>公顷，占山体总面积的0.63%</w:t>
      </w:r>
      <w:r>
        <w:rPr>
          <w:rFonts w:hint="eastAsia" w:eastAsia="仿宋_GB2312" w:cs="Times New Roman"/>
          <w:color w:val="000000"/>
          <w:lang w:bidi="ar-SA"/>
        </w:rPr>
        <w:t>，</w:t>
      </w:r>
      <w:r>
        <w:rPr>
          <w:rFonts w:eastAsia="仿宋_GB2312" w:cs="Times New Roman"/>
          <w:color w:val="000000"/>
          <w:lang w:bidi="ar-SA"/>
        </w:rPr>
        <w:t>涉及5个县级山体，16个乡级山体，74个村级山体。</w:t>
      </w:r>
      <w:r>
        <w:rPr>
          <w:rFonts w:eastAsia="仿宋_GB2312" w:cs="Times New Roman"/>
          <w:color w:val="000000"/>
        </w:rPr>
        <w:t>渑池县山体内水源地保护区面积共计1165.89公顷，水源地类型为湖库型和地下水，其中一级保护区3个，二级保护区6个。涉及5个县级山体，6个乡级山体和23个村级山体。</w:t>
      </w:r>
    </w:p>
    <w:p>
      <w:pPr>
        <w:pStyle w:val="34"/>
        <w:spacing w:after="0" w:line="360" w:lineRule="auto"/>
        <w:ind w:left="0" w:leftChars="0" w:firstLine="480"/>
        <w:rPr>
          <w:rFonts w:ascii="Times New Roman" w:hAnsi="Times New Roman" w:eastAsia="仿宋_GB2312"/>
          <w:sz w:val="24"/>
        </w:rPr>
      </w:pPr>
      <w:r>
        <w:rPr>
          <w:rFonts w:ascii="Times New Roman" w:hAnsi="Times New Roman" w:eastAsia="仿宋_GB2312"/>
          <w:sz w:val="24"/>
        </w:rPr>
        <w:t>（三）山体土地利用现状</w:t>
      </w:r>
    </w:p>
    <w:p>
      <w:pPr>
        <w:pStyle w:val="8"/>
        <w:ind w:firstLine="480"/>
        <w:jc w:val="both"/>
        <w:rPr>
          <w:rFonts w:cs="Times New Roman"/>
          <w:szCs w:val="28"/>
        </w:rPr>
      </w:pPr>
      <w:r>
        <w:rPr>
          <w:rFonts w:eastAsia="仿宋_GB2312" w:cs="Times New Roman"/>
          <w:color w:val="000000"/>
          <w:lang w:val="en-US"/>
        </w:rPr>
        <w:t>渑池县山体内农用地面积共计53824.85公顷</w:t>
      </w:r>
      <w:r>
        <w:rPr>
          <w:rFonts w:eastAsia="仿宋_GB2312" w:cs="Times New Roman"/>
          <w:color w:val="000000"/>
          <w:lang w:val="en-US" w:bidi="ar-SA"/>
        </w:rPr>
        <w:t>，占比为83.08%；</w:t>
      </w:r>
      <w:r>
        <w:rPr>
          <w:rFonts w:eastAsia="仿宋_GB2312" w:cs="Times New Roman"/>
          <w:color w:val="000000"/>
          <w:lang w:val="en-US"/>
        </w:rPr>
        <w:t>建设用地面积共计2215.90公顷</w:t>
      </w:r>
      <w:r>
        <w:rPr>
          <w:rFonts w:eastAsia="仿宋_GB2312" w:cs="Times New Roman"/>
          <w:color w:val="000000"/>
          <w:lang w:val="en-US" w:bidi="ar-SA"/>
        </w:rPr>
        <w:t>，占比为3.42%；</w:t>
      </w:r>
      <w:r>
        <w:rPr>
          <w:rFonts w:eastAsia="仿宋_GB2312" w:cs="Times New Roman"/>
          <w:color w:val="000000"/>
          <w:lang w:val="en-US"/>
        </w:rPr>
        <w:t>未利用地面积共计8745.27公顷</w:t>
      </w:r>
      <w:r>
        <w:rPr>
          <w:rFonts w:eastAsia="仿宋_GB2312" w:cs="Times New Roman"/>
          <w:color w:val="000000"/>
          <w:lang w:val="en-US" w:bidi="ar-SA"/>
        </w:rPr>
        <w:t>，占比为13.50%。</w:t>
      </w:r>
    </w:p>
    <w:p>
      <w:pPr>
        <w:pStyle w:val="8"/>
        <w:ind w:firstLine="480"/>
        <w:jc w:val="both"/>
        <w:rPr>
          <w:rFonts w:eastAsia="仿宋_GB2312" w:cs="Times New Roman"/>
          <w:b/>
          <w:bCs/>
          <w:color w:val="000000"/>
          <w:sz w:val="21"/>
          <w:szCs w:val="21"/>
          <w:lang w:val="en-US"/>
        </w:rPr>
      </w:pPr>
      <w:r>
        <w:rPr>
          <w:rFonts w:eastAsia="仿宋_GB2312" w:cs="Times New Roman"/>
          <w:color w:val="000000"/>
          <w:lang w:val="en-US"/>
        </w:rPr>
        <w:t>山体内基本农田面积共计8338.49</w:t>
      </w:r>
      <w:r>
        <w:rPr>
          <w:rFonts w:eastAsia="仿宋_GB2312" w:cs="Times New Roman"/>
          <w:color w:val="000000"/>
          <w:lang w:val="en-US" w:bidi="ar-SA"/>
        </w:rPr>
        <w:t>公顷。</w:t>
      </w:r>
      <w:r>
        <w:rPr>
          <w:rFonts w:eastAsia="仿宋_GB2312" w:cs="Times New Roman"/>
          <w:color w:val="000000"/>
          <w:lang w:val="en-US"/>
        </w:rPr>
        <w:t>山体内生态保护红线为黄河生物多样性、水源涵养生态保护红线以及崤山水源涵养生态保护红线，面积共计14290.81</w:t>
      </w:r>
      <w:r>
        <w:rPr>
          <w:rFonts w:eastAsia="仿宋_GB2312" w:cs="Times New Roman"/>
          <w:color w:val="000000"/>
          <w:lang w:val="en-US" w:bidi="ar-SA"/>
        </w:rPr>
        <w:t>公顷，其中</w:t>
      </w:r>
      <w:r>
        <w:rPr>
          <w:rFonts w:eastAsia="仿宋_GB2312" w:cs="Times New Roman"/>
          <w:color w:val="000000"/>
          <w:lang w:val="en-US"/>
        </w:rPr>
        <w:t>生物多样性、水源涵养面积700.88</w:t>
      </w:r>
      <w:r>
        <w:rPr>
          <w:rFonts w:eastAsia="仿宋_GB2312" w:cs="Times New Roman"/>
          <w:color w:val="000000"/>
          <w:lang w:val="en-US" w:bidi="ar-SA"/>
        </w:rPr>
        <w:t>公顷</w:t>
      </w:r>
      <w:r>
        <w:rPr>
          <w:rFonts w:eastAsia="仿宋_GB2312" w:cs="Times New Roman"/>
          <w:color w:val="000000"/>
          <w:lang w:val="en-US"/>
        </w:rPr>
        <w:t>，水源涵养面积13589.93公顷。</w:t>
      </w:r>
    </w:p>
    <w:p>
      <w:pPr>
        <w:pStyle w:val="34"/>
        <w:spacing w:after="0" w:line="360" w:lineRule="auto"/>
        <w:ind w:left="0" w:leftChars="0" w:firstLine="480"/>
        <w:rPr>
          <w:rFonts w:ascii="Times New Roman" w:hAnsi="Times New Roman" w:eastAsia="仿宋_GB2312"/>
          <w:sz w:val="24"/>
        </w:rPr>
      </w:pPr>
      <w:r>
        <w:rPr>
          <w:rFonts w:ascii="Times New Roman" w:hAnsi="Times New Roman" w:eastAsia="仿宋_GB2312"/>
          <w:sz w:val="24"/>
        </w:rPr>
        <w:t>（四）山体矿产资源现状</w:t>
      </w:r>
    </w:p>
    <w:p>
      <w:pPr>
        <w:pStyle w:val="8"/>
        <w:ind w:firstLine="480"/>
        <w:jc w:val="both"/>
        <w:rPr>
          <w:rFonts w:cs="Times New Roman"/>
        </w:rPr>
      </w:pPr>
      <w:r>
        <w:rPr>
          <w:rFonts w:eastAsia="仿宋_GB2312" w:cs="Times New Roman"/>
          <w:color w:val="000000"/>
          <w:lang w:val="en-US"/>
        </w:rPr>
        <w:t>渑池县山体范围内涉及采矿权矿种13种，矿权投影面积共计7945.97公顷。按矿种分为：铝土矿</w:t>
      </w:r>
      <w:r>
        <w:rPr>
          <w:rFonts w:hint="eastAsia" w:eastAsia="仿宋_GB2312" w:cs="Times New Roman"/>
          <w:color w:val="000000"/>
          <w:lang w:val="en-US"/>
        </w:rPr>
        <w:t>、</w:t>
      </w:r>
      <w:r>
        <w:rPr>
          <w:rFonts w:eastAsia="仿宋_GB2312" w:cs="Times New Roman"/>
          <w:color w:val="000000"/>
          <w:lang w:val="en-US"/>
        </w:rPr>
        <w:t>建筑石料用灰岩</w:t>
      </w:r>
      <w:r>
        <w:rPr>
          <w:rFonts w:hint="eastAsia" w:eastAsia="仿宋_GB2312" w:cs="Times New Roman"/>
          <w:color w:val="000000"/>
          <w:lang w:val="en-US"/>
        </w:rPr>
        <w:t>、</w:t>
      </w:r>
      <w:r>
        <w:rPr>
          <w:rFonts w:eastAsia="仿宋_GB2312" w:cs="Times New Roman"/>
          <w:color w:val="000000"/>
          <w:lang w:val="en-US"/>
        </w:rPr>
        <w:t>煤矿</w:t>
      </w:r>
      <w:r>
        <w:rPr>
          <w:rFonts w:hint="eastAsia" w:eastAsia="仿宋_GB2312" w:cs="Times New Roman"/>
          <w:color w:val="000000"/>
          <w:lang w:val="en-US"/>
        </w:rPr>
        <w:t>、</w:t>
      </w:r>
      <w:r>
        <w:rPr>
          <w:rFonts w:eastAsia="仿宋_GB2312" w:cs="Times New Roman"/>
          <w:color w:val="000000"/>
          <w:lang w:val="en-US"/>
        </w:rPr>
        <w:t>重晶石矿</w:t>
      </w:r>
      <w:r>
        <w:rPr>
          <w:rFonts w:hint="eastAsia" w:eastAsia="仿宋_GB2312" w:cs="Times New Roman"/>
          <w:color w:val="000000"/>
          <w:lang w:val="en-US"/>
        </w:rPr>
        <w:t>、</w:t>
      </w:r>
      <w:r>
        <w:rPr>
          <w:rFonts w:eastAsia="仿宋_GB2312" w:cs="Times New Roman"/>
          <w:color w:val="000000"/>
          <w:lang w:val="en-US"/>
        </w:rPr>
        <w:t>水泥用石灰岩矿</w:t>
      </w:r>
      <w:r>
        <w:rPr>
          <w:rFonts w:hint="eastAsia" w:eastAsia="仿宋_GB2312" w:cs="Times New Roman"/>
          <w:color w:val="000000"/>
          <w:lang w:val="en-US"/>
        </w:rPr>
        <w:t>、</w:t>
      </w:r>
      <w:r>
        <w:rPr>
          <w:rFonts w:eastAsia="仿宋_GB2312" w:cs="Times New Roman"/>
          <w:color w:val="000000"/>
          <w:lang w:val="en-US"/>
        </w:rPr>
        <w:t>制灰用石灰岩矿</w:t>
      </w:r>
      <w:r>
        <w:rPr>
          <w:rFonts w:hint="eastAsia" w:eastAsia="仿宋_GB2312" w:cs="Times New Roman"/>
          <w:color w:val="000000"/>
          <w:lang w:val="en-US"/>
        </w:rPr>
        <w:t>等</w:t>
      </w:r>
      <w:r>
        <w:rPr>
          <w:rFonts w:eastAsia="仿宋_GB2312" w:cs="Times New Roman"/>
          <w:color w:val="000000"/>
          <w:lang w:val="en-US"/>
        </w:rPr>
        <w:t>。涉及5个县级山体，15个乡级山体和75个村级山体。</w:t>
      </w:r>
    </w:p>
    <w:p>
      <w:pPr>
        <w:pStyle w:val="34"/>
        <w:spacing w:after="0" w:line="360" w:lineRule="auto"/>
        <w:ind w:left="0" w:leftChars="0" w:firstLine="480"/>
        <w:rPr>
          <w:rFonts w:ascii="Times New Roman" w:hAnsi="Times New Roman" w:eastAsia="仿宋_GB2312"/>
          <w:sz w:val="24"/>
        </w:rPr>
      </w:pPr>
      <w:r>
        <w:rPr>
          <w:rFonts w:ascii="Times New Roman" w:hAnsi="Times New Roman" w:eastAsia="仿宋_GB2312"/>
          <w:sz w:val="24"/>
        </w:rPr>
        <w:t>（五）山体旅游资源现状</w:t>
      </w:r>
    </w:p>
    <w:p>
      <w:pPr>
        <w:pStyle w:val="8"/>
        <w:ind w:firstLine="480"/>
        <w:jc w:val="both"/>
        <w:rPr>
          <w:rFonts w:eastAsia="仿宋_GB2312" w:cs="Times New Roman"/>
          <w:bCs/>
          <w:color w:val="000000"/>
          <w:lang w:val="en-US"/>
        </w:rPr>
      </w:pPr>
      <w:bookmarkStart w:id="15" w:name="_Hlk78575167"/>
      <w:r>
        <w:rPr>
          <w:rFonts w:eastAsia="仿宋_GB2312" w:cs="Times New Roman"/>
          <w:bCs/>
          <w:color w:val="000000"/>
        </w:rPr>
        <w:t>渑池县山体内共涉及旅游风景区7处，面积共计13707.04</w:t>
      </w:r>
      <w:r>
        <w:rPr>
          <w:rFonts w:eastAsia="仿宋_GB2312" w:cs="Times New Roman"/>
          <w:color w:val="000000"/>
        </w:rPr>
        <w:t>公顷</w:t>
      </w:r>
      <w:r>
        <w:rPr>
          <w:rFonts w:eastAsia="仿宋_GB2312" w:cs="Times New Roman"/>
          <w:bCs/>
          <w:color w:val="000000"/>
        </w:rPr>
        <w:t>。</w:t>
      </w:r>
      <w:bookmarkEnd w:id="15"/>
      <w:r>
        <w:rPr>
          <w:rFonts w:eastAsia="仿宋_GB2312" w:cs="Times New Roman"/>
          <w:bCs/>
          <w:color w:val="000000"/>
          <w:lang w:val="en-US"/>
        </w:rPr>
        <w:t>渑池县山体内共有文物保护单位24个，其中，河南省级文物保护单位2个，三门峡市级文物保护单位4个，渑池县级文物保护单位18个。</w:t>
      </w:r>
    </w:p>
    <w:p>
      <w:pPr>
        <w:pStyle w:val="34"/>
        <w:spacing w:after="0" w:line="360" w:lineRule="auto"/>
        <w:ind w:left="0" w:leftChars="0" w:firstLine="480"/>
        <w:rPr>
          <w:rFonts w:ascii="Times New Roman" w:hAnsi="Times New Roman" w:eastAsia="仿宋_GB2312"/>
          <w:sz w:val="24"/>
        </w:rPr>
      </w:pPr>
      <w:r>
        <w:rPr>
          <w:rFonts w:ascii="Times New Roman" w:hAnsi="Times New Roman" w:eastAsia="仿宋_GB2312"/>
          <w:sz w:val="24"/>
        </w:rPr>
        <w:t>（六）山体生物资源现状</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渑池县山体范围内涉及的古树名木共计60株，其中一级保护古树21株、二级保护古树22株，三级保护古树17株。</w:t>
      </w:r>
    </w:p>
    <w:p>
      <w:pPr>
        <w:pStyle w:val="3"/>
        <w:jc w:val="center"/>
        <w:rPr>
          <w:rFonts w:ascii="Times New Roman" w:hAnsi="Times New Roman" w:eastAsia="仿宋_GB2312" w:cs="Times New Roman"/>
          <w:sz w:val="28"/>
          <w:szCs w:val="28"/>
        </w:rPr>
      </w:pPr>
      <w:bookmarkStart w:id="16" w:name="_Toc154474100"/>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二</w:t>
      </w:r>
      <w:r>
        <w:rPr>
          <w:rFonts w:ascii="Times New Roman" w:hAnsi="Times New Roman" w:eastAsia="仿宋_GB2312" w:cs="Times New Roman"/>
          <w:sz w:val="28"/>
          <w:szCs w:val="28"/>
        </w:rPr>
        <w:t>节</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山体生态环境现状</w:t>
      </w:r>
      <w:bookmarkEnd w:id="16"/>
    </w:p>
    <w:p>
      <w:pPr>
        <w:pStyle w:val="8"/>
        <w:spacing w:before="120" w:after="120"/>
        <w:ind w:firstLine="480"/>
        <w:jc w:val="both"/>
        <w:rPr>
          <w:rFonts w:eastAsia="仿宋_GB2312" w:cs="Times New Roman"/>
          <w:color w:val="000000"/>
          <w:lang w:val="en-US"/>
        </w:rPr>
      </w:pPr>
      <w:r>
        <w:rPr>
          <w:rFonts w:eastAsia="仿宋_GB2312" w:cs="Times New Roman"/>
          <w:color w:val="000000"/>
          <w:lang w:val="en-US"/>
        </w:rPr>
        <w:t>渑池县</w:t>
      </w:r>
      <w:r>
        <w:rPr>
          <w:rFonts w:hint="eastAsia" w:eastAsia="仿宋_GB2312" w:cs="Times New Roman"/>
          <w:color w:val="000000"/>
          <w:lang w:val="en-US"/>
        </w:rPr>
        <w:t>坚持山水林田湖草系统保护与协同治理，构建生态安全空间格局，提升黄河沿线生态环境品质。但是由于渑池县地理位置特殊，是黄河金三角联动发展枢纽城市，在自然及人为双重因素驱动下，生态环境问题依然存在。</w:t>
      </w:r>
    </w:p>
    <w:p>
      <w:pPr>
        <w:pStyle w:val="8"/>
        <w:spacing w:before="120" w:after="120"/>
        <w:ind w:firstLine="480"/>
        <w:jc w:val="both"/>
        <w:rPr>
          <w:rFonts w:eastAsia="仿宋_GB2312" w:cs="Times New Roman"/>
          <w:color w:val="000000"/>
          <w:lang w:val="en-US"/>
        </w:rPr>
      </w:pPr>
      <w:r>
        <w:rPr>
          <w:rFonts w:eastAsia="仿宋_GB2312" w:cs="Times New Roman"/>
          <w:color w:val="000000"/>
          <w:lang w:val="en-US"/>
        </w:rPr>
        <w:t>渑池县山体范围内涉及的地质灾害类型主要有滑坡、</w:t>
      </w:r>
      <w:r>
        <w:rPr>
          <w:rFonts w:hint="eastAsia" w:eastAsia="仿宋_GB2312" w:cs="Times New Roman"/>
          <w:color w:val="000000"/>
          <w:lang w:val="en-US"/>
        </w:rPr>
        <w:t>崩塌、</w:t>
      </w:r>
      <w:r>
        <w:rPr>
          <w:rFonts w:eastAsia="仿宋_GB2312" w:cs="Times New Roman"/>
          <w:color w:val="000000"/>
          <w:lang w:val="en-US"/>
        </w:rPr>
        <w:t>泥石流、地面塌陷</w:t>
      </w:r>
      <w:r>
        <w:rPr>
          <w:rFonts w:hint="eastAsia" w:eastAsia="仿宋_GB2312" w:cs="Times New Roman"/>
          <w:color w:val="000000"/>
          <w:lang w:val="en-US"/>
        </w:rPr>
        <w:t>等</w:t>
      </w:r>
      <w:r>
        <w:rPr>
          <w:rFonts w:eastAsia="仿宋_GB2312" w:cs="Times New Roman"/>
          <w:color w:val="000000"/>
          <w:lang w:val="en-US"/>
        </w:rPr>
        <w:t>。山体内森林草地生态环境破坏主要为工程建设、矿山开采、交通设施建设等造成。破坏的林地主要为乔木林地、其他林地、灌木林地，破坏的草地为其他草地。</w:t>
      </w:r>
    </w:p>
    <w:p>
      <w:pPr>
        <w:pStyle w:val="8"/>
        <w:spacing w:before="120" w:after="120"/>
        <w:ind w:firstLine="480"/>
        <w:jc w:val="both"/>
        <w:rPr>
          <w:rFonts w:eastAsia="仿宋_GB2312" w:cs="Times New Roman"/>
          <w:color w:val="000000"/>
          <w:lang w:val="en-US"/>
        </w:rPr>
      </w:pPr>
      <w:r>
        <w:rPr>
          <w:rFonts w:eastAsia="仿宋_GB2312" w:cs="Times New Roman"/>
          <w:color w:val="000000"/>
          <w:lang w:val="en-US"/>
        </w:rPr>
        <w:t>渑池县山体内冲沟发育，地形破碎，坡耕地较多，水资源缺乏，以旱地为主，水土流失较严重。部分山区造林质量不高，抚育作业措施落实不到位，管护资金支持不够，森林结构树种单一，生物多样性保护措施不健全，生态系统整体功能脆弱，水源涵养能力降低。</w:t>
      </w:r>
    </w:p>
    <w:p>
      <w:pPr>
        <w:pStyle w:val="8"/>
        <w:spacing w:before="120" w:after="120"/>
        <w:ind w:firstLine="480"/>
        <w:jc w:val="both"/>
        <w:rPr>
          <w:rFonts w:eastAsia="仿宋_GB2312" w:cs="Times New Roman"/>
          <w:color w:val="000000"/>
          <w:lang w:val="en-US"/>
        </w:rPr>
      </w:pPr>
      <w:r>
        <w:rPr>
          <w:rFonts w:eastAsia="仿宋_GB2312" w:cs="Times New Roman"/>
          <w:color w:val="000000"/>
          <w:lang w:val="en-US"/>
        </w:rPr>
        <w:t>渑池县山体内采矿活动以露天开采为主，主要矿山地质环境破坏为矿渣和工业场地破坏地形地貌景观和压占土地资源。土地功能退化，生产矿山、工业生产造成水土污染、水土流失，地质灾害隐患大，存在尾矿库安全隐患。</w:t>
      </w:r>
    </w:p>
    <w:p>
      <w:pPr>
        <w:pStyle w:val="3"/>
        <w:jc w:val="center"/>
        <w:rPr>
          <w:rFonts w:ascii="Times New Roman" w:hAnsi="Times New Roman" w:eastAsia="仿宋_GB2312" w:cs="Times New Roman"/>
          <w:sz w:val="28"/>
          <w:szCs w:val="28"/>
        </w:rPr>
      </w:pPr>
      <w:bookmarkStart w:id="17" w:name="_Toc154474101"/>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 xml:space="preserve">节 </w:t>
      </w:r>
      <w:r>
        <w:rPr>
          <w:rFonts w:hint="eastAsia" w:ascii="Times New Roman" w:hAnsi="Times New Roman" w:eastAsia="仿宋_GB2312" w:cs="Times New Roman"/>
          <w:sz w:val="28"/>
          <w:szCs w:val="28"/>
        </w:rPr>
        <w:t>保护工作进展</w:t>
      </w:r>
      <w:bookmarkEnd w:id="17"/>
    </w:p>
    <w:p>
      <w:pPr>
        <w:spacing w:line="360" w:lineRule="auto"/>
        <w:ind w:firstLine="480" w:firstLineChars="200"/>
        <w:rPr>
          <w:rFonts w:ascii="宋体" w:hAnsi="宋体" w:cs="仿宋"/>
          <w:sz w:val="24"/>
          <w:lang w:val="zh-CN" w:bidi="zh-CN"/>
        </w:rPr>
      </w:pPr>
      <w:r>
        <w:rPr>
          <w:rFonts w:ascii="宋体" w:hAnsi="宋体" w:cs="仿宋"/>
          <w:sz w:val="24"/>
          <w:lang w:val="zh-CN" w:bidi="zh-CN"/>
        </w:rPr>
        <w:t>为践行绿色发展理念，推进生态文明建设，加强所辖行政区域内自然山脉、山地与丘陵保护和矿山地质环境治理，加大修复力度，规范森林、土地、矿产等自然资源科学开发利用，</w:t>
      </w:r>
      <w:r>
        <w:rPr>
          <w:rFonts w:hint="eastAsia" w:ascii="宋体" w:hAnsi="宋体" w:cs="仿宋"/>
          <w:sz w:val="24"/>
          <w:lang w:val="zh-CN" w:bidi="zh-CN"/>
        </w:rPr>
        <w:t>三门峡市相继发布《三门峡市山长制改革实施方案》、《三门峡市山体保护条例》和《三门峡市山体调查技术指南（试行）》等重要文件，坚持生态优先、统筹规划、科学修复和损害担责的原则，为山体保护和适度开发利用提供了政策和法律保证。</w:t>
      </w:r>
    </w:p>
    <w:p>
      <w:pPr>
        <w:spacing w:line="360" w:lineRule="auto"/>
        <w:ind w:firstLine="480" w:firstLineChars="200"/>
        <w:rPr>
          <w:rFonts w:ascii="宋体" w:hAnsi="宋体" w:cs="仿宋"/>
          <w:sz w:val="24"/>
          <w:lang w:val="zh-CN" w:bidi="zh-CN"/>
        </w:rPr>
      </w:pPr>
      <w:r>
        <w:rPr>
          <w:rFonts w:hint="eastAsia" w:ascii="宋体" w:hAnsi="宋体" w:cs="仿宋"/>
          <w:sz w:val="24"/>
          <w:lang w:val="zh-CN" w:bidi="zh-CN"/>
        </w:rPr>
        <w:t>衔接市级山体保护政策，渑池县政府发布《渑池县山体保护“山长制”工作实施方案》，成立了渑池县山长制办公室。按照三门峡市山长办的工作部署，渑池县已完成山体调查报告编制、山体现状调查数据库和山体资源“一张图”建设等工作，初步建立县、乡、村、组四级山长制组织体系，基本查明了渑池县主要山体分布区域、各类资源现状，摸清主要生态环境问题，掌握山体数量、范围面积、资源本底、生态本底以及权属界线，为科学编制山体保护专项规划，实现山体整体保护、系统修复及综合治理提供了基础支撑。</w:t>
      </w:r>
    </w:p>
    <w:p>
      <w:pPr>
        <w:pStyle w:val="3"/>
        <w:jc w:val="center"/>
        <w:rPr>
          <w:rFonts w:ascii="Times New Roman" w:hAnsi="Times New Roman" w:eastAsia="仿宋_GB2312" w:cs="Times New Roman"/>
          <w:sz w:val="28"/>
          <w:szCs w:val="28"/>
        </w:rPr>
      </w:pPr>
      <w:bookmarkStart w:id="18" w:name="_Toc154474102"/>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四</w:t>
      </w:r>
      <w:r>
        <w:rPr>
          <w:rFonts w:ascii="Times New Roman" w:hAnsi="Times New Roman" w:eastAsia="仿宋_GB2312" w:cs="Times New Roman"/>
          <w:sz w:val="28"/>
          <w:szCs w:val="28"/>
        </w:rPr>
        <w:t xml:space="preserve">节 </w:t>
      </w:r>
      <w:r>
        <w:rPr>
          <w:rFonts w:hint="eastAsia" w:ascii="Times New Roman" w:hAnsi="Times New Roman" w:eastAsia="仿宋_GB2312" w:cs="Times New Roman"/>
          <w:sz w:val="28"/>
          <w:szCs w:val="28"/>
        </w:rPr>
        <w:t>保护工作存在的问题</w:t>
      </w:r>
      <w:bookmarkEnd w:id="18"/>
    </w:p>
    <w:p>
      <w:pPr>
        <w:spacing w:line="360" w:lineRule="auto"/>
        <w:ind w:firstLine="480" w:firstLineChars="200"/>
        <w:rPr>
          <w:rFonts w:ascii="宋体" w:hAnsi="宋体" w:cs="仿宋"/>
          <w:sz w:val="24"/>
          <w:lang w:bidi="zh-CN"/>
        </w:rPr>
      </w:pPr>
      <w:r>
        <w:rPr>
          <w:rFonts w:hint="eastAsia" w:ascii="宋体" w:hAnsi="宋体" w:cs="仿宋"/>
          <w:sz w:val="24"/>
          <w:lang w:bidi="zh-CN"/>
        </w:rPr>
        <w:t>随着城市建设步伐的不断加快，受挖坡建房、开山采石、乱搭乱建违章建筑、占用山体绿地开发建设等行为的影响，存在山体被蚕食、破坏现象。山体保护的法制建设亟需加强，一方面，国家、省尚未出台针对山体保护的法律法规，对开山采石、切坡建房、开挖山脚等破坏山体的行为，相关的行政执法部门难以依法进行有效监管。另一方面，环境保护意识淡薄，相关的保护规划和措施未能很好的贯彻落实。联动管理、联合执法工作有待加强。山体保护工作是一项复杂的系统工程，涉及多领域、多部门，山林的产权包括国有、集体所有、团体或个人承包等，权责相互交叉。各级政府和各部门在统筹山体生态保护与开发利用，探索生态建设补偿和奖励机制，充分调动社会各界力量，更好地发挥山体内在的生态环境功能等方面有待进一步明确，山体保护联合执法工作有待进一步加强。</w:t>
      </w:r>
    </w:p>
    <w:p>
      <w:pPr>
        <w:pStyle w:val="3"/>
        <w:jc w:val="center"/>
        <w:rPr>
          <w:rFonts w:ascii="Times New Roman" w:hAnsi="Times New Roman" w:eastAsia="仿宋_GB2312" w:cs="Times New Roman"/>
          <w:sz w:val="28"/>
          <w:szCs w:val="28"/>
        </w:rPr>
      </w:pPr>
      <w:bookmarkStart w:id="19" w:name="_Toc154474103"/>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五</w:t>
      </w:r>
      <w:r>
        <w:rPr>
          <w:rFonts w:ascii="Times New Roman" w:hAnsi="Times New Roman" w:eastAsia="仿宋_GB2312" w:cs="Times New Roman"/>
          <w:sz w:val="28"/>
          <w:szCs w:val="28"/>
        </w:rPr>
        <w:t xml:space="preserve">节 </w:t>
      </w:r>
      <w:r>
        <w:rPr>
          <w:rFonts w:hint="eastAsia" w:ascii="Times New Roman" w:hAnsi="Times New Roman" w:eastAsia="仿宋_GB2312" w:cs="Times New Roman"/>
          <w:sz w:val="28"/>
          <w:szCs w:val="28"/>
        </w:rPr>
        <w:t>保护必要性</w:t>
      </w:r>
      <w:bookmarkEnd w:id="19"/>
    </w:p>
    <w:p>
      <w:pPr>
        <w:spacing w:line="360" w:lineRule="auto"/>
        <w:ind w:firstLine="480" w:firstLineChars="200"/>
        <w:rPr>
          <w:rFonts w:cs="Times New Roman"/>
          <w:color w:val="000000"/>
        </w:rPr>
      </w:pPr>
      <w:r>
        <w:rPr>
          <w:rFonts w:hint="eastAsia" w:cs="Times New Roman"/>
          <w:color w:val="000000"/>
          <w:sz w:val="24"/>
          <w:szCs w:val="21"/>
        </w:rPr>
        <w:t>生态环境保护，既是“国之大者”，也与每个人息息相关。现处于美丽中国建设的重要时期，要深入贯彻新时代中国特色社会主义生态文明思想，坚持以人民为中心，牢固树立和践行绿水青山就是金山银山的理念，以高品质生态环境支撑高质量发展，加快推进人与自然和谐共生的现代化。山体是生态系统的重要组成部分，切实推进山体保护，响应了党中央加强自然生态环境保护战略，符合生态环境保护的客观需要，反映了群众对美好生活的新期待，同时助于保护旅游资源，促进旅游产业的发展。</w:t>
      </w:r>
    </w:p>
    <w:p>
      <w:pPr>
        <w:pStyle w:val="3"/>
        <w:jc w:val="center"/>
        <w:rPr>
          <w:rFonts w:ascii="Times New Roman" w:hAnsi="Times New Roman" w:eastAsia="仿宋_GB2312" w:cs="Times New Roman"/>
          <w:sz w:val="28"/>
          <w:szCs w:val="28"/>
        </w:rPr>
      </w:pPr>
      <w:bookmarkStart w:id="20" w:name="_Toc131750819"/>
      <w:bookmarkStart w:id="21" w:name="_Toc154474104"/>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六</w:t>
      </w:r>
      <w:r>
        <w:rPr>
          <w:rFonts w:ascii="Times New Roman" w:hAnsi="Times New Roman" w:eastAsia="仿宋_GB2312" w:cs="Times New Roman"/>
          <w:sz w:val="28"/>
          <w:szCs w:val="28"/>
        </w:rPr>
        <w:t xml:space="preserve">节 </w:t>
      </w:r>
      <w:bookmarkEnd w:id="20"/>
      <w:r>
        <w:rPr>
          <w:rFonts w:hint="eastAsia" w:ascii="Times New Roman" w:hAnsi="Times New Roman" w:eastAsia="仿宋_GB2312" w:cs="Times New Roman"/>
          <w:sz w:val="28"/>
          <w:szCs w:val="28"/>
        </w:rPr>
        <w:t>面临形势</w:t>
      </w:r>
      <w:bookmarkEnd w:id="21"/>
    </w:p>
    <w:p>
      <w:pPr>
        <w:spacing w:before="156" w:beforeLines="50" w:after="156" w:afterLines="50"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 xml:space="preserve">黄河流域生态保护和高质量发展的要求。探索高质量发展必须坚持“生态优先、保护优先、自然恢复为主、人工修复为辅”的基本方针，以系统思维推进山水林田湖草沙一体化治理，系统实施山体保护，实现绿色循环可持续发展，为人民提供更多更好的生态产品，满足人民群众对良好生态环境殷切期盼。 </w:t>
      </w:r>
    </w:p>
    <w:p>
      <w:pPr>
        <w:spacing w:before="156" w:beforeLines="50" w:after="156" w:afterLines="50"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生态强省建设明确山体保护修复新任务。河南省第十一次党代会提出，坚持生态优先、保护第一，统筹山水林田湖草沙综合治理、系统治理、源头治理，推动减污降碳协同增效，加快建设生态强省。“十四五”期间构建大河大山大平原生态格局，增强山地生态屏障功能，提高山地生态系统自我修复能力。</w:t>
      </w:r>
    </w:p>
    <w:p>
      <w:pPr>
        <w:spacing w:before="156" w:beforeLines="50" w:after="156" w:afterLines="50"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渑池县建立黄河流域绿色生态经济发展示范区的要求。“十四五”时期，渑池县坚持山水林田湖草沙系统保护与协同治理，构建生态安全空间格局，提升黄河渑池段沿线生态环境品质。落实山体保护、打造生态渑池，为加快国土空间生态修复、提升国土空间承载能力、构建国土空间生态安全格局的时代需求提供资源、生态保障，对促进人与自然和谐共生、推进生态文明和美丽渑池建设具有重要意义。</w:t>
      </w:r>
    </w:p>
    <w:p>
      <w:pPr>
        <w:pStyle w:val="3"/>
        <w:spacing w:before="360" w:line="415" w:lineRule="auto"/>
        <w:jc w:val="center"/>
        <w:rPr>
          <w:rFonts w:ascii="Times New Roman" w:hAnsi="Times New Roman" w:eastAsia="仿宋_GB2312" w:cs="Times New Roman"/>
          <w:sz w:val="28"/>
          <w:szCs w:val="28"/>
        </w:rPr>
      </w:pPr>
      <w:bookmarkStart w:id="22" w:name="_Toc154474105"/>
      <w:r>
        <w:rPr>
          <w:rFonts w:ascii="Times New Roman" w:hAnsi="Times New Roman" w:eastAsia="仿宋_GB2312" w:cs="Times New Roman"/>
          <w:sz w:val="28"/>
          <w:szCs w:val="28"/>
        </w:rPr>
        <w:t>第</w:t>
      </w:r>
      <w:r>
        <w:rPr>
          <w:rFonts w:hint="eastAsia" w:ascii="Times New Roman" w:hAnsi="Times New Roman" w:eastAsia="仿宋_GB2312" w:cs="Times New Roman"/>
          <w:sz w:val="28"/>
          <w:szCs w:val="28"/>
        </w:rPr>
        <w:t>七</w:t>
      </w:r>
      <w:r>
        <w:rPr>
          <w:rFonts w:ascii="Times New Roman" w:hAnsi="Times New Roman" w:eastAsia="仿宋_GB2312" w:cs="Times New Roman"/>
          <w:sz w:val="28"/>
          <w:szCs w:val="28"/>
        </w:rPr>
        <w:t xml:space="preserve">节 </w:t>
      </w:r>
      <w:r>
        <w:rPr>
          <w:rFonts w:hint="eastAsia" w:ascii="Times New Roman" w:hAnsi="Times New Roman" w:eastAsia="仿宋_GB2312" w:cs="Times New Roman"/>
          <w:sz w:val="28"/>
          <w:szCs w:val="28"/>
        </w:rPr>
        <w:t>机遇与挑战</w:t>
      </w:r>
      <w:bookmarkEnd w:id="22"/>
    </w:p>
    <w:p>
      <w:pPr>
        <w:spacing w:before="156" w:beforeLines="50" w:after="156" w:afterLines="50"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绿水青山就是金山银山”的生态发展观深入人心，生态文明建设的力度已大幅提高。河南省政府始终重视生态大省建设工作，多次印发生态环境修复及规划相关政府文件，对省级、辖市和重点县（市、区）国土空间修复规划编制工作提出要求，加强生态保护修护工作战略部署。渑池县坚持创新区域联动、绿色发展模式，着力打造国家资源循环利用高地，有利于探索一条“生态为基、绿色崛起”的县域经济高质量发展道路。但保护山体，实现绿色高质量发展，仍有挑战。</w:t>
      </w:r>
    </w:p>
    <w:p>
      <w:pPr>
        <w:spacing w:before="156" w:beforeLines="50" w:after="156" w:afterLines="50"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生态保护与高质量发展能力有待提高。黄河流域生态保护和高质量发展战略对沿黄地区的经济社会发展提出了更高的要求，渑池作为资源型城市，面临着资源枯竭、产业结构失衡、环境容量有限、发展后劲不足等一系列问题，在生态环境高水平保护的前提下，实现经济社会高质量发展的任务依然艰巨。</w:t>
      </w:r>
    </w:p>
    <w:p>
      <w:pPr>
        <w:spacing w:before="156" w:beforeLines="50" w:after="156" w:afterLines="50" w:line="360" w:lineRule="auto"/>
        <w:ind w:firstLine="480" w:firstLineChars="200"/>
        <w:rPr>
          <w:rFonts w:ascii="Times New Roman" w:hAnsi="Times New Roman" w:cs="Times New Roman"/>
          <w:bCs/>
          <w:sz w:val="24"/>
          <w:szCs w:val="24"/>
        </w:rPr>
      </w:pPr>
      <w:r>
        <w:rPr>
          <w:rFonts w:hint="eastAsia" w:ascii="Times New Roman" w:hAnsi="Times New Roman" w:cs="Times New Roman"/>
          <w:bCs/>
          <w:sz w:val="24"/>
          <w:szCs w:val="24"/>
        </w:rPr>
        <w:t>资源保护与利用关系需进一步协调。人地矛盾仍然存在，水资源量不足、分布不均，城乡建设与耕地保护、生态保护在空间布局存在一定的矛盾冲突。侵占、破坏森林资源和野生动物栖息地的现象时有发生，森林火灾及病虫害风险存在。严守生态保护红线，保护湿地、林地和野生动植物资源，维护生态安全底线的工作仍有薄弱环节。</w:t>
      </w:r>
    </w:p>
    <w:p>
      <w:pPr>
        <w:spacing w:before="156" w:beforeLines="50" w:after="156" w:afterLines="50" w:line="360" w:lineRule="auto"/>
        <w:ind w:firstLine="480" w:firstLineChars="200"/>
        <w:rPr>
          <w:rFonts w:hint="eastAsia" w:ascii="Times New Roman" w:hAnsi="Times New Roman" w:cs="Times New Roman"/>
          <w:bCs/>
          <w:sz w:val="24"/>
          <w:szCs w:val="24"/>
        </w:rPr>
      </w:pPr>
      <w:r>
        <w:rPr>
          <w:rFonts w:hint="eastAsia" w:ascii="Times New Roman" w:hAnsi="Times New Roman" w:cs="Times New Roman"/>
          <w:bCs/>
          <w:sz w:val="24"/>
          <w:szCs w:val="24"/>
        </w:rPr>
        <w:t>山体保护治理体系和治理能力有待提升。</w:t>
      </w:r>
      <w:r>
        <w:rPr>
          <w:rFonts w:ascii="Times New Roman" w:hAnsi="Times New Roman"/>
          <w:sz w:val="24"/>
        </w:rPr>
        <w:t>在山体附属资源保护管理方面，自然资源、生态环境、林业、水利、农业农村等部门均有涉及，各部门分别依据各自行业的政策和法律、法规对相应资源的保护和开发利用实施管理，但山体保护管理责任</w:t>
      </w:r>
      <w:r>
        <w:rPr>
          <w:rFonts w:hint="eastAsia" w:ascii="Times New Roman" w:hAnsi="Times New Roman"/>
          <w:sz w:val="24"/>
        </w:rPr>
        <w:t>有待进一步</w:t>
      </w:r>
      <w:r>
        <w:rPr>
          <w:rFonts w:ascii="Times New Roman" w:hAnsi="Times New Roman"/>
          <w:sz w:val="24"/>
        </w:rPr>
        <w:t>明确</w:t>
      </w:r>
      <w:r>
        <w:rPr>
          <w:rFonts w:hint="eastAsia" w:ascii="Times New Roman" w:hAnsi="Times New Roman"/>
          <w:sz w:val="24"/>
        </w:rPr>
        <w:t>，避免职责不清。</w:t>
      </w:r>
      <w:r>
        <w:rPr>
          <w:rFonts w:hint="eastAsia" w:ascii="Times New Roman" w:hAnsi="Times New Roman" w:cs="Times New Roman"/>
          <w:bCs/>
          <w:sz w:val="24"/>
          <w:szCs w:val="24"/>
        </w:rPr>
        <w:t>自然资源分析决策能力尚需提升，资源保护管理方式和管理手段有待优化。科技创新驱动有待加强，与新技术融合度有待提高。</w:t>
      </w:r>
      <w:bookmarkStart w:id="23" w:name="_Toc154474106"/>
    </w:p>
    <w:p>
      <w:pPr>
        <w:spacing w:before="156" w:beforeLines="50" w:after="156" w:afterLines="50" w:line="360" w:lineRule="auto"/>
        <w:ind w:firstLine="480" w:firstLineChars="200"/>
        <w:rPr>
          <w:rFonts w:hint="eastAsia" w:ascii="Times New Roman" w:hAnsi="Times New Roman" w:cs="Times New Roman"/>
          <w:bCs/>
          <w:sz w:val="24"/>
          <w:szCs w:val="24"/>
        </w:rPr>
      </w:pPr>
    </w:p>
    <w:p>
      <w:pPr>
        <w:spacing w:before="156" w:beforeLines="50" w:after="156" w:afterLines="50" w:line="360" w:lineRule="auto"/>
        <w:ind w:firstLine="600" w:firstLineChars="200"/>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第</w:t>
      </w:r>
      <w:r>
        <w:rPr>
          <w:rFonts w:hint="eastAsia" w:ascii="Times New Roman" w:hAnsi="Times New Roman" w:eastAsia="仿宋_GB2312" w:cs="Times New Roman"/>
          <w:sz w:val="30"/>
          <w:szCs w:val="30"/>
        </w:rPr>
        <w:t>三</w:t>
      </w:r>
      <w:r>
        <w:rPr>
          <w:rFonts w:ascii="Times New Roman" w:hAnsi="Times New Roman" w:eastAsia="仿宋_GB2312" w:cs="Times New Roman"/>
          <w:sz w:val="30"/>
          <w:szCs w:val="30"/>
        </w:rPr>
        <w:t>章 山体保护布局与管控</w:t>
      </w:r>
      <w:bookmarkEnd w:id="23"/>
    </w:p>
    <w:p>
      <w:pPr>
        <w:pStyle w:val="3"/>
        <w:spacing w:line="240" w:lineRule="auto"/>
        <w:jc w:val="center"/>
        <w:rPr>
          <w:rFonts w:ascii="Times New Roman" w:hAnsi="Times New Roman" w:eastAsia="仿宋_GB2312" w:cs="Times New Roman"/>
          <w:sz w:val="28"/>
          <w:szCs w:val="28"/>
        </w:rPr>
      </w:pPr>
      <w:bookmarkStart w:id="24" w:name="_Toc154474107"/>
      <w:r>
        <w:rPr>
          <w:rFonts w:hint="eastAsia" w:ascii="Times New Roman" w:hAnsi="Times New Roman" w:eastAsia="仿宋_GB2312" w:cs="Times New Roman"/>
          <w:sz w:val="28"/>
          <w:szCs w:val="28"/>
        </w:rPr>
        <w:t xml:space="preserve">第一节 </w:t>
      </w:r>
      <w:r>
        <w:rPr>
          <w:rFonts w:ascii="Times New Roman" w:hAnsi="Times New Roman" w:eastAsia="仿宋_GB2312" w:cs="Times New Roman"/>
          <w:sz w:val="28"/>
          <w:szCs w:val="28"/>
        </w:rPr>
        <w:t>规划布局</w:t>
      </w:r>
      <w:bookmarkEnd w:id="24"/>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为落实“绿水清山就是金山银山”</w:t>
      </w:r>
      <w:r>
        <w:rPr>
          <w:rFonts w:hint="eastAsia" w:ascii="Times New Roman" w:hAnsi="Times New Roman" w:cs="Times New Roman"/>
          <w:sz w:val="24"/>
          <w:szCs w:val="21"/>
        </w:rPr>
        <w:t>和</w:t>
      </w:r>
      <w:r>
        <w:rPr>
          <w:rFonts w:ascii="Times New Roman" w:hAnsi="Times New Roman" w:cs="Times New Roman"/>
          <w:sz w:val="24"/>
          <w:szCs w:val="21"/>
        </w:rPr>
        <w:t>“山水林田湖草是生命共同体”的生态系统理念，从生态系统整体性和生态服务功能管理角度出发，综合考虑渑池县山体分布的空间要素、不同空间区域的生态联系与耦合过程，采用空间分析和地理信息系统技术，识别“生命共同体”山体生态保护利用空间分布和主要结构特征，按照布局思路和山水林田湖草生命共同体要求，依据</w:t>
      </w:r>
      <w:r>
        <w:rPr>
          <w:rFonts w:hint="eastAsia" w:ascii="Times New Roman" w:hAnsi="Times New Roman" w:cs="Times New Roman"/>
          <w:sz w:val="24"/>
          <w:szCs w:val="21"/>
        </w:rPr>
        <w:t>《三门峡市城市总体规划（</w:t>
      </w:r>
      <w:r>
        <w:rPr>
          <w:rFonts w:ascii="Times New Roman" w:hAnsi="Times New Roman" w:cs="Times New Roman"/>
          <w:sz w:val="24"/>
          <w:szCs w:val="21"/>
        </w:rPr>
        <w:t>2013―2030）》</w:t>
      </w:r>
      <w:r>
        <w:rPr>
          <w:rFonts w:hint="eastAsia" w:ascii="Times New Roman" w:hAnsi="Times New Roman" w:cs="Times New Roman"/>
          <w:sz w:val="24"/>
          <w:szCs w:val="21"/>
        </w:rPr>
        <w:t>、</w:t>
      </w:r>
      <w:r>
        <w:rPr>
          <w:rFonts w:ascii="Times New Roman" w:hAnsi="Times New Roman" w:cs="Times New Roman"/>
          <w:sz w:val="24"/>
          <w:szCs w:val="21"/>
        </w:rPr>
        <w:t>《森林三门峡生态建设总体规划（2018-2027年）》</w:t>
      </w:r>
      <w:r>
        <w:rPr>
          <w:rFonts w:hint="eastAsia" w:ascii="Times New Roman" w:hAnsi="Times New Roman" w:cs="Times New Roman"/>
          <w:sz w:val="24"/>
          <w:szCs w:val="21"/>
        </w:rPr>
        <w:t>、《渑池县国土空间总体规划（</w:t>
      </w:r>
      <w:r>
        <w:rPr>
          <w:rFonts w:ascii="Times New Roman" w:hAnsi="Times New Roman" w:cs="Times New Roman"/>
          <w:sz w:val="24"/>
          <w:szCs w:val="21"/>
        </w:rPr>
        <w:t>2021-2035</w:t>
      </w:r>
      <w:r>
        <w:rPr>
          <w:rFonts w:hint="eastAsia" w:ascii="Times New Roman" w:hAnsi="Times New Roman" w:cs="Times New Roman"/>
          <w:sz w:val="24"/>
          <w:szCs w:val="21"/>
        </w:rPr>
        <w:t>）》和《渑池县国民经济和社会发展第十四个五年规划和二</w:t>
      </w:r>
      <w:r>
        <w:rPr>
          <w:rFonts w:hint="eastAsia" w:ascii="微软雅黑" w:hAnsi="微软雅黑" w:eastAsia="微软雅黑" w:cs="微软雅黑"/>
          <w:sz w:val="24"/>
          <w:szCs w:val="21"/>
        </w:rPr>
        <w:t>〇</w:t>
      </w:r>
      <w:r>
        <w:rPr>
          <w:rFonts w:hint="eastAsia" w:ascii="仿宋_GB2312" w:hAnsi="仿宋_GB2312" w:cs="仿宋_GB2312"/>
          <w:sz w:val="24"/>
          <w:szCs w:val="21"/>
        </w:rPr>
        <w:t>三五年远景目标纲要》</w:t>
      </w:r>
      <w:r>
        <w:rPr>
          <w:rFonts w:ascii="Times New Roman" w:hAnsi="Times New Roman" w:cs="Times New Roman"/>
          <w:sz w:val="24"/>
          <w:szCs w:val="21"/>
        </w:rPr>
        <w:t>等相关规划成果，合理配置生态建设空间，着力构建“一带、一屏、多廊、多点”的生态空间总体格局。</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“一带”。即黄河渑池段生态区。河南黄河湿地国家级自然保护区渑池段沿线山体，保护区将对山体进行全面保护，维护生态系统的生态特征和基本功能，使之向良性循环方向发展</w:t>
      </w:r>
      <w:r>
        <w:rPr>
          <w:rFonts w:hint="eastAsia" w:ascii="Times New Roman" w:hAnsi="Times New Roman" w:cs="Times New Roman"/>
          <w:sz w:val="24"/>
          <w:szCs w:val="21"/>
        </w:rPr>
        <w:t>，是保护山体和生态系统的完整性的必要举措</w:t>
      </w:r>
      <w:r>
        <w:rPr>
          <w:rFonts w:ascii="Times New Roman" w:hAnsi="Times New Roman" w:cs="Times New Roman"/>
          <w:sz w:val="24"/>
          <w:szCs w:val="21"/>
        </w:rPr>
        <w:t>。按照“全面保护、分区施策”的原则，将对区内整个自然环境资源、生物资源和人文景观实行全面保护。</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“一屏”。即崤山生态屏障。包括仰韶大峡谷、石峰峪、韶山森林公园、石佛峡、五凤山和黄河丹峡景区等，构成县域生态核心区</w:t>
      </w:r>
      <w:r>
        <w:rPr>
          <w:rFonts w:hint="eastAsia" w:ascii="Times New Roman" w:hAnsi="Times New Roman" w:cs="Times New Roman"/>
          <w:sz w:val="24"/>
          <w:szCs w:val="21"/>
        </w:rPr>
        <w:t>，具有生态保护和修复、防洪排涝、水源涵养等重要生态价值</w:t>
      </w:r>
      <w:r>
        <w:rPr>
          <w:rFonts w:ascii="Times New Roman" w:hAnsi="Times New Roman" w:cs="Times New Roman"/>
          <w:sz w:val="24"/>
          <w:szCs w:val="21"/>
        </w:rPr>
        <w:t>。通过实施矿山地质环境生态修复、重点区域水土流失综合整治、森林抚育、</w:t>
      </w:r>
      <w:r>
        <w:rPr>
          <w:rFonts w:hint="eastAsia" w:ascii="Times New Roman" w:hAnsi="Times New Roman" w:cs="Times New Roman"/>
          <w:sz w:val="24"/>
          <w:szCs w:val="21"/>
        </w:rPr>
        <w:t>濒危</w:t>
      </w:r>
      <w:r>
        <w:rPr>
          <w:rFonts w:ascii="Times New Roman" w:hAnsi="Times New Roman" w:cs="Times New Roman"/>
          <w:sz w:val="24"/>
          <w:szCs w:val="21"/>
        </w:rPr>
        <w:t>物种繁育及保护工程，保护生物多样性，建设森林生态体系，构建渑池县森林屏障，保障黄河流域和渑池县生态安全。</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“多廊”。垣渑高速、国道241等主干道以及涧口河、洪阳河等主要水系两侧打造绿色生态廊道。重点开展绿色通道建设，充分发挥其降噪除尘、净化空气、遮阳降温、美化景观等生态功能作用</w:t>
      </w:r>
      <w:r>
        <w:rPr>
          <w:rFonts w:hint="eastAsia" w:ascii="Times New Roman" w:hAnsi="Times New Roman" w:cs="Times New Roman"/>
          <w:sz w:val="24"/>
          <w:szCs w:val="21"/>
        </w:rPr>
        <w:t>。同时，绿色生态廊道的保护有利于减少人为开发活动引发地质灾害隐患的可能性</w:t>
      </w:r>
      <w:r>
        <w:rPr>
          <w:rFonts w:ascii="Times New Roman" w:hAnsi="Times New Roman" w:cs="Times New Roman"/>
          <w:sz w:val="24"/>
          <w:szCs w:val="21"/>
        </w:rPr>
        <w:t>。加大乔木混交林比例，实现道路绿化向美化、彩化升级，丰富绿化层次，提高道路建设标准，打造“一年四季景不同”的景观走廊。</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“多点”。以山体内重要的传统村落、文物遗迹点、古树名木、矿区绿化、生态敏感区和水源地保护区等构成的森林生态点和绿化点。统筹推进山体内生态点和绿化点系统治理，</w:t>
      </w:r>
      <w:r>
        <w:rPr>
          <w:rFonts w:hint="eastAsia" w:ascii="Times New Roman" w:hAnsi="Times New Roman" w:cs="Times New Roman"/>
          <w:sz w:val="24"/>
          <w:szCs w:val="21"/>
        </w:rPr>
        <w:t>展现山体重要的地域历史文化以及社会价值，</w:t>
      </w:r>
      <w:r>
        <w:rPr>
          <w:rFonts w:ascii="Times New Roman" w:hAnsi="Times New Roman" w:cs="Times New Roman"/>
          <w:sz w:val="24"/>
          <w:szCs w:val="21"/>
        </w:rPr>
        <w:t>紧抓黄河流域生态保护和高质量发展国家重大战略机遇，为自然生态系统治理和稳定性提供坚实基础。</w:t>
      </w:r>
    </w:p>
    <w:p>
      <w:pPr>
        <w:pStyle w:val="3"/>
        <w:spacing w:line="240" w:lineRule="auto"/>
        <w:jc w:val="center"/>
        <w:rPr>
          <w:rFonts w:ascii="Times New Roman" w:hAnsi="Times New Roman" w:eastAsia="仿宋_GB2312" w:cs="Times New Roman"/>
          <w:sz w:val="28"/>
          <w:szCs w:val="28"/>
        </w:rPr>
      </w:pPr>
      <w:bookmarkStart w:id="25" w:name="_Toc154474108"/>
      <w:bookmarkStart w:id="26" w:name="_Hlk151974764"/>
      <w:r>
        <w:rPr>
          <w:rFonts w:hint="eastAsia" w:ascii="Times New Roman" w:hAnsi="Times New Roman" w:eastAsia="仿宋_GB2312" w:cs="Times New Roman"/>
          <w:sz w:val="28"/>
          <w:szCs w:val="28"/>
        </w:rPr>
        <w:t xml:space="preserve">第二节 </w:t>
      </w:r>
      <w:r>
        <w:rPr>
          <w:rFonts w:ascii="Times New Roman" w:hAnsi="Times New Roman" w:eastAsia="仿宋_GB2312" w:cs="Times New Roman"/>
          <w:sz w:val="28"/>
          <w:szCs w:val="28"/>
        </w:rPr>
        <w:t>规划</w:t>
      </w:r>
      <w:r>
        <w:rPr>
          <w:rFonts w:hint="eastAsia" w:ascii="Times New Roman" w:hAnsi="Times New Roman" w:eastAsia="仿宋_GB2312" w:cs="Times New Roman"/>
          <w:sz w:val="28"/>
          <w:szCs w:val="28"/>
        </w:rPr>
        <w:t>衔接</w:t>
      </w:r>
      <w:bookmarkEnd w:id="25"/>
    </w:p>
    <w:p>
      <w:pPr>
        <w:spacing w:before="156" w:beforeLines="50" w:after="156" w:afterLines="50"/>
        <w:rPr>
          <w:b/>
          <w:bCs/>
          <w:sz w:val="24"/>
          <w:szCs w:val="21"/>
        </w:rPr>
      </w:pPr>
      <w:r>
        <w:rPr>
          <w:rFonts w:hint="eastAsia"/>
          <w:b/>
          <w:bCs/>
          <w:sz w:val="24"/>
          <w:szCs w:val="21"/>
        </w:rPr>
        <w:t>（一）《三门峡市城市总体规划（</w:t>
      </w:r>
      <w:r>
        <w:rPr>
          <w:rFonts w:ascii="Times New Roman" w:hAnsi="Times New Roman" w:cs="Times New Roman"/>
          <w:b/>
          <w:bCs/>
          <w:sz w:val="24"/>
          <w:szCs w:val="21"/>
        </w:rPr>
        <w:t>2013-2030</w:t>
      </w:r>
      <w:r>
        <w:rPr>
          <w:b/>
          <w:bCs/>
          <w:sz w:val="24"/>
          <w:szCs w:val="21"/>
        </w:rPr>
        <w:t>年）</w:t>
      </w:r>
      <w:r>
        <w:rPr>
          <w:rFonts w:hint="eastAsia"/>
          <w:b/>
          <w:bCs/>
          <w:sz w:val="24"/>
          <w:szCs w:val="21"/>
        </w:rPr>
        <w:t>》</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《三门峡市城市总体规划》的总体布局为“一核、两翼、三带、多点”，“一核”即三门峡市都市区，“两翼”即渑池、义马发展翼和卢氏生态发展翼，“三带”即沿黄河生态带、崤山</w:t>
      </w:r>
      <w:r>
        <w:rPr>
          <w:rFonts w:ascii="Times New Roman" w:hAnsi="Times New Roman" w:cs="Times New Roman"/>
          <w:sz w:val="24"/>
          <w:szCs w:val="21"/>
        </w:rPr>
        <w:t>-小浪底生态带、伏牛山-熊耳山生态带，“多点”即依托产业聚集区、风景旅游区、交通枢纽等资源优势培育的多个重要节点。《</w:t>
      </w:r>
      <w:r>
        <w:rPr>
          <w:rFonts w:hint="eastAsia" w:ascii="Times New Roman" w:hAnsi="Times New Roman" w:cs="Times New Roman"/>
          <w:sz w:val="24"/>
          <w:szCs w:val="21"/>
        </w:rPr>
        <w:t>渑池县</w:t>
      </w:r>
      <w:r>
        <w:rPr>
          <w:rFonts w:ascii="Times New Roman" w:hAnsi="Times New Roman" w:cs="Times New Roman"/>
          <w:sz w:val="24"/>
          <w:szCs w:val="21"/>
        </w:rPr>
        <w:t>山体保护规划》中的规划布局为“一带、一屏、多廊、多点”，本规划布局中的“一带”与《三门峡市城市总体规划》布局中</w:t>
      </w:r>
      <w:r>
        <w:rPr>
          <w:rFonts w:hint="eastAsia" w:ascii="Times New Roman" w:hAnsi="Times New Roman" w:cs="Times New Roman"/>
          <w:sz w:val="24"/>
          <w:szCs w:val="21"/>
        </w:rPr>
        <w:t>的“沿黄河生态带”完全对接；本规划中的“一屏”为崤山生态屏障，与崤山</w:t>
      </w:r>
      <w:r>
        <w:rPr>
          <w:rFonts w:ascii="Times New Roman" w:hAnsi="Times New Roman" w:cs="Times New Roman"/>
          <w:sz w:val="24"/>
          <w:szCs w:val="21"/>
        </w:rPr>
        <w:t>-小浪底生态带完全契合；因规划建设内容与方向不同，本规划将《三门峡市城市总体规划》的“多点”进行细化，进一步分为“多廓、多点”，分别以交通枢纽和风景旅游为基础，打造绿色交通廊道和特色旅游小镇。</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渑池县山体保护规划》中规划目标对山体生态环境的限定要求和目标部分遵循《三门峡市城市总体规划》中绿地系统规划、绿地建设时序、土地资源优化土地利用结构内的部分要求，根据山体的特性进行了更细致的要求。</w:t>
      </w:r>
    </w:p>
    <w:p>
      <w:pPr>
        <w:spacing w:before="156" w:beforeLines="50" w:after="156" w:afterLines="50"/>
        <w:rPr>
          <w:rFonts w:ascii="Times New Roman" w:hAnsi="Times New Roman" w:cs="Times New Roman"/>
          <w:b/>
          <w:bCs/>
          <w:sz w:val="24"/>
          <w:szCs w:val="21"/>
        </w:rPr>
      </w:pPr>
      <w:r>
        <w:rPr>
          <w:rFonts w:hint="eastAsia" w:ascii="Times New Roman" w:hAnsi="Times New Roman" w:cs="Times New Roman"/>
          <w:b/>
          <w:bCs/>
          <w:sz w:val="24"/>
          <w:szCs w:val="21"/>
        </w:rPr>
        <w:t>（</w:t>
      </w:r>
      <w:r>
        <w:rPr>
          <w:rFonts w:ascii="Times New Roman" w:hAnsi="Times New Roman" w:cs="Times New Roman"/>
          <w:b/>
          <w:bCs/>
          <w:sz w:val="24"/>
          <w:szCs w:val="21"/>
        </w:rPr>
        <w:t>二</w:t>
      </w:r>
      <w:r>
        <w:rPr>
          <w:rFonts w:hint="eastAsia" w:ascii="Times New Roman" w:hAnsi="Times New Roman" w:cs="Times New Roman"/>
          <w:b/>
          <w:bCs/>
          <w:sz w:val="24"/>
          <w:szCs w:val="21"/>
        </w:rPr>
        <w:t>）</w:t>
      </w:r>
      <w:r>
        <w:rPr>
          <w:rFonts w:ascii="Times New Roman" w:hAnsi="Times New Roman" w:cs="Times New Roman"/>
          <w:b/>
          <w:bCs/>
          <w:sz w:val="24"/>
          <w:szCs w:val="21"/>
        </w:rPr>
        <w:t>《森林三门峡生态建设总体规划（2018-2027年）》</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《渑池县山体保护规划》在建设目标、建设布局和建设内容等方面充分遵循《森林三门峡生态建设整体规划》的相关要求与限定，但更加突出了渑池县山体环境建设特点。《渑池县山体保护规划》规划布局中</w:t>
      </w:r>
      <w:r>
        <w:rPr>
          <w:rFonts w:ascii="Times New Roman" w:hAnsi="Times New Roman" w:cs="Times New Roman"/>
          <w:sz w:val="24"/>
          <w:szCs w:val="21"/>
        </w:rPr>
        <w:t xml:space="preserve"> “一带、一屏、多廊、多点”的规划布局与</w:t>
      </w:r>
      <w:r>
        <w:rPr>
          <w:rFonts w:hint="eastAsia" w:ascii="Times New Roman" w:hAnsi="Times New Roman" w:cs="Times New Roman"/>
          <w:sz w:val="24"/>
          <w:szCs w:val="21"/>
        </w:rPr>
        <w:t>《森林三门峡生态建设整体规划》</w:t>
      </w:r>
      <w:r>
        <w:rPr>
          <w:rFonts w:ascii="Times New Roman" w:hAnsi="Times New Roman" w:cs="Times New Roman"/>
          <w:sz w:val="24"/>
          <w:szCs w:val="21"/>
        </w:rPr>
        <w:t>的“一带、两区、多廊、多点” 布局基本一致但有所差异，均对规划区的生态环境营造和质量提升做出规划。</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其中《森林三门峡生态建设整体规划》中的“一带”均为黄河生态，集景观游憩和生态保护相结合，二者基本契合，区别在于本规划更注重渑池县黄河沿线山体整体生态建设；《森林三门峡生态建设整体规划》中“两区”与本规划中的“一屏”范围略有差异，但营造生态防护区的手段例如“公益林保护、森林生态修复、生态林建设”等规则目标和规划理念基本一致；本规划中“多廊”与《森林三门峡生态建设整体规划》相对接，均依托交通路网及主要水系形成生态廊道，本规划根据渑池县现状，对廊道的类型、数量与分布均进行了优化和补充，进一步细化了渑池县廊道网络；“多点”的布局保持一致，但渑池县部分增添了名胜古迹点、古树名木等生态点，在数量和种类上进行了补充，进一步完善了三门峡市绿化点的网络。</w:t>
      </w:r>
    </w:p>
    <w:p>
      <w:pPr>
        <w:spacing w:before="156" w:beforeLines="50" w:after="156" w:afterLines="50"/>
        <w:rPr>
          <w:rFonts w:ascii="Times New Roman" w:hAnsi="Times New Roman" w:cs="Times New Roman"/>
          <w:b/>
          <w:bCs/>
          <w:sz w:val="24"/>
          <w:szCs w:val="21"/>
        </w:rPr>
      </w:pPr>
      <w:r>
        <w:rPr>
          <w:rFonts w:hint="eastAsia" w:ascii="Times New Roman" w:hAnsi="Times New Roman" w:cs="Times New Roman"/>
          <w:b/>
          <w:bCs/>
          <w:sz w:val="24"/>
          <w:szCs w:val="21"/>
        </w:rPr>
        <w:t>（三）与其它相关规划的衔接</w:t>
      </w:r>
    </w:p>
    <w:p>
      <w:pPr>
        <w:spacing w:line="360" w:lineRule="auto"/>
        <w:ind w:firstLine="480" w:firstLineChars="200"/>
        <w:rPr>
          <w:rFonts w:ascii="Times New Roman" w:hAnsi="Times New Roman" w:cs="Times New Roman"/>
        </w:rPr>
      </w:pPr>
      <w:r>
        <w:rPr>
          <w:rFonts w:ascii="Times New Roman" w:hAnsi="Times New Roman" w:cs="Times New Roman"/>
          <w:sz w:val="24"/>
          <w:szCs w:val="21"/>
        </w:rPr>
        <w:t xml:space="preserve"> 目前，本规划在山体生态修复工程上与</w:t>
      </w:r>
      <w:r>
        <w:rPr>
          <w:rFonts w:hint="eastAsia" w:ascii="Times New Roman" w:hAnsi="Times New Roman" w:cs="Times New Roman"/>
          <w:sz w:val="24"/>
          <w:szCs w:val="21"/>
        </w:rPr>
        <w:t>《渑池县国土空间总体规划（</w:t>
      </w:r>
      <w:r>
        <w:rPr>
          <w:rFonts w:ascii="Times New Roman" w:hAnsi="Times New Roman" w:cs="Times New Roman"/>
          <w:sz w:val="24"/>
          <w:szCs w:val="21"/>
        </w:rPr>
        <w:t>2021-2035</w:t>
      </w:r>
      <w:r>
        <w:rPr>
          <w:rFonts w:hint="eastAsia" w:ascii="Times New Roman" w:hAnsi="Times New Roman" w:cs="Times New Roman"/>
          <w:sz w:val="24"/>
          <w:szCs w:val="21"/>
        </w:rPr>
        <w:t>）》、《渑池县国民经济和社会发展第十四个五年规划和二</w:t>
      </w:r>
      <w:r>
        <w:rPr>
          <w:rFonts w:hint="eastAsia" w:ascii="微软雅黑" w:hAnsi="微软雅黑" w:eastAsia="微软雅黑" w:cs="微软雅黑"/>
          <w:sz w:val="24"/>
          <w:szCs w:val="21"/>
        </w:rPr>
        <w:t>〇</w:t>
      </w:r>
      <w:r>
        <w:rPr>
          <w:rFonts w:hint="eastAsia" w:ascii="仿宋_GB2312" w:hAnsi="仿宋_GB2312" w:cs="仿宋_GB2312"/>
          <w:sz w:val="24"/>
          <w:szCs w:val="21"/>
        </w:rPr>
        <w:t>三五年远景目标纲要》和《渑池县矿山地质环境恢复和综合治理规划（</w:t>
      </w:r>
      <w:r>
        <w:rPr>
          <w:rFonts w:ascii="Times New Roman" w:hAnsi="Times New Roman" w:cs="Times New Roman"/>
          <w:sz w:val="24"/>
          <w:szCs w:val="21"/>
        </w:rPr>
        <w:t>2017-2025</w:t>
      </w:r>
      <w:r>
        <w:rPr>
          <w:rFonts w:ascii="仿宋_GB2312" w:hAnsi="仿宋_GB2312" w:cs="仿宋_GB2312"/>
          <w:sz w:val="24"/>
          <w:szCs w:val="21"/>
        </w:rPr>
        <w:t>年）</w:t>
      </w:r>
      <w:r>
        <w:rPr>
          <w:rFonts w:hint="eastAsia" w:ascii="仿宋_GB2312" w:hAnsi="仿宋_GB2312" w:cs="仿宋_GB2312"/>
          <w:sz w:val="24"/>
          <w:szCs w:val="21"/>
        </w:rPr>
        <w:t>》</w:t>
      </w:r>
      <w:r>
        <w:rPr>
          <w:rFonts w:ascii="Times New Roman" w:hAnsi="Times New Roman" w:cs="Times New Roman"/>
          <w:sz w:val="24"/>
          <w:szCs w:val="21"/>
        </w:rPr>
        <w:t>相衔接。本规划遵循“立足城乡发展，统筹山水林田”的原则，依据规划指导思想和目标，结合</w:t>
      </w:r>
      <w:r>
        <w:rPr>
          <w:rFonts w:hint="eastAsia" w:ascii="Times New Roman" w:hAnsi="Times New Roman" w:cs="Times New Roman"/>
          <w:sz w:val="24"/>
          <w:szCs w:val="21"/>
        </w:rPr>
        <w:t>渑池县</w:t>
      </w:r>
      <w:r>
        <w:rPr>
          <w:rFonts w:ascii="Times New Roman" w:hAnsi="Times New Roman" w:cs="Times New Roman"/>
          <w:sz w:val="24"/>
          <w:szCs w:val="21"/>
        </w:rPr>
        <w:t>经济社会发展需求，对山体生态环境的限定要求和目标部分进行了更细致的要求，并设定了生态修复指标体系，随着</w:t>
      </w:r>
      <w:r>
        <w:rPr>
          <w:rFonts w:hint="eastAsia" w:ascii="Times New Roman" w:hAnsi="Times New Roman" w:cs="Times New Roman"/>
          <w:sz w:val="24"/>
          <w:szCs w:val="21"/>
        </w:rPr>
        <w:t>渑池县</w:t>
      </w:r>
      <w:r>
        <w:rPr>
          <w:rFonts w:ascii="Times New Roman" w:hAnsi="Times New Roman" w:cs="Times New Roman"/>
          <w:sz w:val="24"/>
          <w:szCs w:val="21"/>
        </w:rPr>
        <w:t>山体保护规划工</w:t>
      </w:r>
      <w:r>
        <w:rPr>
          <w:rFonts w:hint="eastAsia" w:ascii="Times New Roman" w:hAnsi="Times New Roman" w:cs="Times New Roman"/>
          <w:sz w:val="24"/>
          <w:szCs w:val="21"/>
        </w:rPr>
        <w:t>作的不断推进，进一步优化城乡生态、美化人居环境，为推进乡村振兴、高质量建设“五个渑池”提供坚实的生态保障。</w:t>
      </w:r>
    </w:p>
    <w:bookmarkEnd w:id="26"/>
    <w:p>
      <w:pPr>
        <w:pStyle w:val="3"/>
        <w:spacing w:line="240" w:lineRule="auto"/>
        <w:jc w:val="center"/>
        <w:rPr>
          <w:rFonts w:ascii="Times New Roman" w:hAnsi="Times New Roman" w:eastAsia="仿宋_GB2312" w:cs="Times New Roman"/>
          <w:sz w:val="28"/>
          <w:szCs w:val="28"/>
        </w:rPr>
      </w:pPr>
      <w:bookmarkStart w:id="27" w:name="_Toc154474109"/>
      <w:r>
        <w:rPr>
          <w:rFonts w:hint="eastAsia" w:ascii="Times New Roman" w:hAnsi="Times New Roman" w:eastAsia="仿宋_GB2312" w:cs="Times New Roman"/>
          <w:sz w:val="28"/>
          <w:szCs w:val="28"/>
        </w:rPr>
        <w:t xml:space="preserve">第三节 </w:t>
      </w:r>
      <w:r>
        <w:rPr>
          <w:rFonts w:ascii="Times New Roman" w:hAnsi="Times New Roman" w:eastAsia="仿宋_GB2312" w:cs="Times New Roman"/>
          <w:sz w:val="28"/>
          <w:szCs w:val="28"/>
        </w:rPr>
        <w:t>山体保护</w:t>
      </w:r>
      <w:r>
        <w:rPr>
          <w:rFonts w:hint="eastAsia" w:ascii="Times New Roman" w:hAnsi="Times New Roman" w:eastAsia="仿宋_GB2312" w:cs="Times New Roman"/>
          <w:sz w:val="28"/>
          <w:szCs w:val="28"/>
        </w:rPr>
        <w:t>线划定原则</w:t>
      </w:r>
      <w:bookmarkEnd w:id="27"/>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山体保护线是为保证山体生态系统的稳定与安全，维护自然生态系统和城市景观的整体性与多样性，以减少和避免自然次生灾害的发生而划定的红线。山体保护线范围是山体管理与保护的主体，是山体保护需要严格遵守的红线，其周边的建设、开发不得突破山体保护线。山体保护线划定原则如下：</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（1）明确界限，严格保护原则</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严守保护线这条底线，对保护区内进行严格保护，坚决遏制违规建设等破坏性行为。</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（2）划线适度、尊重现状原则</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依据山体地形地势、地貌特征与地理分区现状，科学划定山体本体线和保护线。</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（3）自然、完整、连续原则</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要充分考虑山体的自然、完整和连续性，避免由于因划线不合理而造成山体划线支离破碎，影响整体生态景观。对较为连续的山体体系，除对主体山体进行保护外，其连接山体之间的过渡地带视具体情况可纳入划线范围。</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（4）山水相依、自然衔接原则</w:t>
      </w:r>
    </w:p>
    <w:p>
      <w:pPr>
        <w:spacing w:line="360" w:lineRule="auto"/>
        <w:ind w:firstLine="480" w:firstLineChars="200"/>
        <w:rPr>
          <w:rFonts w:ascii="Times New Roman" w:hAnsi="Times New Roman" w:cs="Times New Roman"/>
        </w:rPr>
      </w:pPr>
      <w:r>
        <w:rPr>
          <w:rFonts w:ascii="Times New Roman" w:hAnsi="Times New Roman" w:cs="Times New Roman"/>
          <w:sz w:val="24"/>
          <w:szCs w:val="21"/>
        </w:rPr>
        <w:t>对一些坡度较小、山形不大，但与水体系统相连接、生态区位又十分重要的山体，落界划定时，保持山水相依的自然景观风貌，其范围应划入山体保护线。</w:t>
      </w:r>
    </w:p>
    <w:p>
      <w:pPr>
        <w:pStyle w:val="3"/>
        <w:spacing w:line="240" w:lineRule="auto"/>
        <w:jc w:val="center"/>
        <w:rPr>
          <w:rFonts w:ascii="Times New Roman" w:hAnsi="Times New Roman" w:eastAsia="仿宋_GB2312" w:cs="Times New Roman"/>
          <w:sz w:val="28"/>
          <w:szCs w:val="28"/>
        </w:rPr>
      </w:pPr>
      <w:bookmarkStart w:id="28" w:name="_Toc154474110"/>
      <w:r>
        <w:rPr>
          <w:rFonts w:hint="eastAsia" w:ascii="Times New Roman" w:hAnsi="Times New Roman" w:eastAsia="仿宋_GB2312" w:cs="Times New Roman"/>
          <w:sz w:val="28"/>
          <w:szCs w:val="28"/>
        </w:rPr>
        <w:t xml:space="preserve">第四节 </w:t>
      </w:r>
      <w:r>
        <w:rPr>
          <w:rFonts w:ascii="Times New Roman" w:hAnsi="Times New Roman" w:eastAsia="仿宋_GB2312" w:cs="Times New Roman"/>
          <w:sz w:val="28"/>
          <w:szCs w:val="28"/>
        </w:rPr>
        <w:t>山体保护名录</w:t>
      </w:r>
      <w:r>
        <w:rPr>
          <w:rFonts w:hint="eastAsia" w:ascii="Times New Roman" w:hAnsi="Times New Roman" w:eastAsia="仿宋_GB2312" w:cs="Times New Roman"/>
          <w:sz w:val="28"/>
          <w:szCs w:val="28"/>
        </w:rPr>
        <w:t>和保护范围</w:t>
      </w:r>
      <w:bookmarkEnd w:id="28"/>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依据山体保护</w:t>
      </w:r>
      <w:r>
        <w:rPr>
          <w:rFonts w:hint="eastAsia" w:ascii="Times New Roman" w:hAnsi="Times New Roman" w:cs="Times New Roman"/>
          <w:sz w:val="24"/>
          <w:szCs w:val="21"/>
        </w:rPr>
        <w:t>分区</w:t>
      </w:r>
      <w:r>
        <w:rPr>
          <w:rFonts w:ascii="Times New Roman" w:hAnsi="Times New Roman" w:cs="Times New Roman"/>
          <w:sz w:val="24"/>
          <w:szCs w:val="21"/>
        </w:rPr>
        <w:t>标准，符合上述原则的划入山体重点保护名录，其它列入山体一般保护名录（表3-1）。其中，重点保护名录50个，</w:t>
      </w:r>
      <w:r>
        <w:rPr>
          <w:rFonts w:hint="eastAsia" w:ascii="Times New Roman" w:hAnsi="Times New Roman" w:cs="Times New Roman"/>
          <w:sz w:val="24"/>
          <w:szCs w:val="21"/>
        </w:rPr>
        <w:t>占山体总数量</w:t>
      </w:r>
      <w:r>
        <w:rPr>
          <w:rFonts w:ascii="Times New Roman" w:hAnsi="Times New Roman" w:cs="Times New Roman"/>
          <w:sz w:val="24"/>
          <w:szCs w:val="21"/>
        </w:rPr>
        <w:t>37.88</w:t>
      </w:r>
      <w:r>
        <w:rPr>
          <w:rFonts w:hint="eastAsia" w:ascii="Times New Roman" w:hAnsi="Times New Roman" w:cs="Times New Roman"/>
          <w:sz w:val="24"/>
          <w:szCs w:val="21"/>
        </w:rPr>
        <w:t>%</w:t>
      </w:r>
      <w:r>
        <w:rPr>
          <w:rFonts w:ascii="Times New Roman" w:hAnsi="Times New Roman" w:cs="Times New Roman"/>
          <w:sz w:val="24"/>
          <w:szCs w:val="21"/>
        </w:rPr>
        <w:t>。</w:t>
      </w:r>
      <w:r>
        <w:rPr>
          <w:rFonts w:hint="eastAsia" w:ascii="Times New Roman" w:hAnsi="Times New Roman" w:cs="Times New Roman"/>
          <w:sz w:val="24"/>
          <w:szCs w:val="21"/>
        </w:rPr>
        <w:t>保护内容为生态红线、河南黄河湿地国家级自然保护区、高速公路、道路干线等。</w:t>
      </w:r>
      <w:r>
        <w:rPr>
          <w:rFonts w:ascii="Times New Roman" w:hAnsi="Times New Roman" w:cs="Times New Roman"/>
          <w:sz w:val="24"/>
          <w:szCs w:val="21"/>
        </w:rPr>
        <w:t>主要分布于段村乡、南村乡、坡头乡、仁村乡、仰韶镇、陈村乡六个乡镇，涉及28个行政村。</w:t>
      </w:r>
      <w:r>
        <w:rPr>
          <w:rFonts w:hint="eastAsia" w:ascii="Times New Roman" w:hAnsi="Times New Roman" w:cs="Times New Roman"/>
          <w:sz w:val="24"/>
          <w:szCs w:val="21"/>
        </w:rPr>
        <w:t>一般</w:t>
      </w:r>
      <w:r>
        <w:rPr>
          <w:rFonts w:ascii="Times New Roman" w:hAnsi="Times New Roman" w:cs="Times New Roman"/>
          <w:sz w:val="24"/>
          <w:szCs w:val="21"/>
        </w:rPr>
        <w:t>保护名录82个，</w:t>
      </w:r>
      <w:r>
        <w:rPr>
          <w:rFonts w:hint="eastAsia" w:ascii="Times New Roman" w:hAnsi="Times New Roman" w:cs="Times New Roman"/>
          <w:sz w:val="24"/>
          <w:szCs w:val="21"/>
        </w:rPr>
        <w:t>占山体总数量</w:t>
      </w:r>
      <w:r>
        <w:rPr>
          <w:rFonts w:ascii="Times New Roman" w:hAnsi="Times New Roman" w:cs="Times New Roman"/>
          <w:sz w:val="24"/>
          <w:szCs w:val="21"/>
        </w:rPr>
        <w:t>62.12</w:t>
      </w:r>
      <w:r>
        <w:rPr>
          <w:rFonts w:hint="eastAsia" w:ascii="Times New Roman" w:hAnsi="Times New Roman" w:cs="Times New Roman"/>
          <w:sz w:val="24"/>
          <w:szCs w:val="21"/>
        </w:rPr>
        <w:t>%。</w:t>
      </w:r>
    </w:p>
    <w:p>
      <w:pPr>
        <w:spacing w:line="360" w:lineRule="auto"/>
        <w:ind w:firstLine="420" w:firstLineChars="200"/>
        <w:jc w:val="center"/>
        <w:rPr>
          <w:rFonts w:ascii="Times New Roman" w:hAnsi="Times New Roman" w:cs="Times New Roman"/>
          <w:sz w:val="21"/>
          <w:szCs w:val="21"/>
        </w:rPr>
      </w:pPr>
      <w:r>
        <w:rPr>
          <w:rFonts w:ascii="Times New Roman" w:hAnsi="Times New Roman" w:cs="Times New Roman"/>
          <w:sz w:val="21"/>
          <w:szCs w:val="21"/>
        </w:rPr>
        <w:t xml:space="preserve">表3-1 </w:t>
      </w:r>
      <w:r>
        <w:rPr>
          <w:rFonts w:hint="eastAsia" w:ascii="Times New Roman" w:hAnsi="Times New Roman" w:cs="Times New Roman"/>
          <w:sz w:val="21"/>
          <w:szCs w:val="21"/>
        </w:rPr>
        <w:t>渑池县村级山体分级划分统计表</w:t>
      </w:r>
    </w:p>
    <w:tbl>
      <w:tblPr>
        <w:tblStyle w:val="19"/>
        <w:tblW w:w="0" w:type="auto"/>
        <w:tblInd w:w="704" w:type="dxa"/>
        <w:tblLayout w:type="fixed"/>
        <w:tblCellMar>
          <w:top w:w="0" w:type="dxa"/>
          <w:left w:w="108" w:type="dxa"/>
          <w:bottom w:w="0" w:type="dxa"/>
          <w:right w:w="108" w:type="dxa"/>
        </w:tblCellMar>
      </w:tblPr>
      <w:tblGrid>
        <w:gridCol w:w="1134"/>
        <w:gridCol w:w="1559"/>
        <w:gridCol w:w="1985"/>
        <w:gridCol w:w="1984"/>
        <w:gridCol w:w="1134"/>
      </w:tblGrid>
      <w:tr>
        <w:tblPrEx>
          <w:tblCellMar>
            <w:top w:w="0" w:type="dxa"/>
            <w:left w:w="108" w:type="dxa"/>
            <w:bottom w:w="0" w:type="dxa"/>
            <w:right w:w="108" w:type="dxa"/>
          </w:tblCellMar>
        </w:tblPrEx>
        <w:trPr>
          <w:trHeight w:val="264" w:hRule="atLeast"/>
        </w:trPr>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序号</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山体隶属</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重点保护名录个数</w:t>
            </w:r>
          </w:p>
        </w:tc>
        <w:tc>
          <w:tcPr>
            <w:tcW w:w="198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一般保护名录个数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总计</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陈村乡</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段村乡</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洪阳镇</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　</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南村乡</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坡头乡</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仁村乡</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35</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仰韶镇</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英豪镇</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　</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r>
      <w:tr>
        <w:tblPrEx>
          <w:tblCellMar>
            <w:top w:w="0" w:type="dxa"/>
            <w:left w:w="108" w:type="dxa"/>
            <w:bottom w:w="0" w:type="dxa"/>
            <w:right w:w="108" w:type="dxa"/>
          </w:tblCellMar>
        </w:tblPrEx>
        <w:trPr>
          <w:trHeight w:val="264" w:hRule="atLeast"/>
        </w:trPr>
        <w:tc>
          <w:tcPr>
            <w:tcW w:w="113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张村镇</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　</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w:t>
            </w:r>
          </w:p>
        </w:tc>
      </w:tr>
      <w:tr>
        <w:tblPrEx>
          <w:tblCellMar>
            <w:top w:w="0" w:type="dxa"/>
            <w:left w:w="108" w:type="dxa"/>
            <w:bottom w:w="0" w:type="dxa"/>
            <w:right w:w="108" w:type="dxa"/>
          </w:tblCellMar>
        </w:tblPrEx>
        <w:trPr>
          <w:trHeight w:val="264" w:hRule="atLeast"/>
        </w:trPr>
        <w:tc>
          <w:tcPr>
            <w:tcW w:w="26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总计</w:t>
            </w:r>
          </w:p>
        </w:tc>
        <w:tc>
          <w:tcPr>
            <w:tcW w:w="198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50</w:t>
            </w:r>
          </w:p>
        </w:tc>
        <w:tc>
          <w:tcPr>
            <w:tcW w:w="198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132</w:t>
            </w:r>
          </w:p>
        </w:tc>
      </w:tr>
    </w:tbl>
    <w:p>
      <w:pPr>
        <w:pStyle w:val="3"/>
        <w:spacing w:line="240" w:lineRule="auto"/>
        <w:jc w:val="center"/>
        <w:rPr>
          <w:rFonts w:ascii="Times New Roman" w:hAnsi="Times New Roman" w:eastAsia="仿宋_GB2312" w:cs="Times New Roman"/>
          <w:sz w:val="28"/>
          <w:szCs w:val="28"/>
        </w:rPr>
      </w:pPr>
      <w:bookmarkStart w:id="29" w:name="_Toc154474111"/>
      <w:r>
        <w:rPr>
          <w:rFonts w:hint="eastAsia" w:ascii="Times New Roman" w:hAnsi="Times New Roman" w:eastAsia="仿宋_GB2312" w:cs="Times New Roman"/>
          <w:sz w:val="28"/>
          <w:szCs w:val="28"/>
        </w:rPr>
        <w:t xml:space="preserve">第五节 </w:t>
      </w:r>
      <w:r>
        <w:rPr>
          <w:rFonts w:ascii="Times New Roman" w:hAnsi="Times New Roman" w:eastAsia="仿宋_GB2312" w:cs="Times New Roman"/>
          <w:sz w:val="28"/>
          <w:szCs w:val="28"/>
        </w:rPr>
        <w:t>管控</w:t>
      </w:r>
      <w:r>
        <w:rPr>
          <w:rFonts w:hint="eastAsia" w:ascii="Times New Roman" w:hAnsi="Times New Roman" w:eastAsia="仿宋_GB2312" w:cs="Times New Roman"/>
          <w:sz w:val="28"/>
          <w:szCs w:val="28"/>
        </w:rPr>
        <w:t>措施</w:t>
      </w:r>
      <w:r>
        <w:rPr>
          <w:rFonts w:ascii="Times New Roman" w:hAnsi="Times New Roman" w:eastAsia="仿宋_GB2312" w:cs="Times New Roman"/>
          <w:sz w:val="28"/>
          <w:szCs w:val="28"/>
        </w:rPr>
        <w:t>与</w:t>
      </w:r>
      <w:r>
        <w:rPr>
          <w:rFonts w:hint="eastAsia" w:ascii="Times New Roman" w:hAnsi="Times New Roman" w:eastAsia="仿宋_GB2312" w:cs="Times New Roman"/>
          <w:sz w:val="28"/>
          <w:szCs w:val="28"/>
        </w:rPr>
        <w:t>部门职责</w:t>
      </w:r>
      <w:bookmarkEnd w:id="29"/>
    </w:p>
    <w:p>
      <w:pPr>
        <w:spacing w:line="360" w:lineRule="auto"/>
        <w:ind w:firstLine="482" w:firstLineChars="200"/>
        <w:rPr>
          <w:rFonts w:ascii="Times New Roman" w:hAnsi="Times New Roman" w:cs="Times New Roman"/>
          <w:b/>
          <w:bCs/>
          <w:sz w:val="24"/>
          <w:szCs w:val="21"/>
        </w:rPr>
      </w:pPr>
      <w:bookmarkStart w:id="30" w:name="_Hlk153293991"/>
      <w:r>
        <w:rPr>
          <w:rFonts w:hint="eastAsia" w:ascii="Times New Roman" w:hAnsi="Times New Roman" w:cs="Times New Roman"/>
          <w:b/>
          <w:bCs/>
          <w:sz w:val="24"/>
          <w:szCs w:val="21"/>
        </w:rPr>
        <w:t>一、管控措施</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山体保护规划是山体保护工作的总依据。按照《中华人民共和国森林法》、《三门峡市山体保护条例》等相关法律法规进行管制，管制要求如下：</w:t>
      </w:r>
      <w:r>
        <w:rPr>
          <w:rFonts w:ascii="Times New Roman" w:hAnsi="Times New Roman" w:cs="Times New Roman"/>
          <w:sz w:val="24"/>
          <w:szCs w:val="21"/>
        </w:rPr>
        <w:t xml:space="preserve"> </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1.在重点保护区内，除防范森林火灾、地质灾害等防灾减灾建设项目，符合规划的山体景观游赏设施建设项目和国防、军事等特殊用途建设项目外，禁止一切损毁山体、破坏生态环境和生态平衡的行为。明确禁止从事下列行为：</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1）在崩塌、滑坡危险区和泥石流易发区从事取土、挖砂、采石等可能造成水土流失的活动；</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2）占用耕地建窑、建坟或者擅自在耕地上建房、挖砂、采石、采矿、取土等；</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3）占用永久基本农田发展林果业和挖塘养鱼；</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4）毁林开垦、采石、采砂、采土以及其他毁坏林木和林地的行为；</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5）围湖造田和侵占江河滩地；</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6）向林地排放重金属或者其他有毒有害物质含量超标的污水、污泥，以及可能造成林地污染的清淤底泥、尾矿、矿渣等。</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7）在幼林地砍柴、毁苗、放牧，擅自移动或者损坏森林保护标志；</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8）非法采挖重点保护野生植物，非法狩猎；</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9）禁止县（市、区）新设采矿权。县（市、区）人民政府已经审批的采矿权，由所在地人民政府按照权限进行评估论证，依法分类处理；</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w:t>
      </w:r>
      <w:r>
        <w:rPr>
          <w:rFonts w:ascii="Times New Roman" w:hAnsi="Times New Roman" w:cs="Times New Roman"/>
          <w:sz w:val="24"/>
          <w:szCs w:val="21"/>
        </w:rPr>
        <w:t>10）法律、法规规定的其他侵占、破坏山体的行为。</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2.在一般保护区内禁止实施下列行为：擅自探矿采矿；擅自开山采石、挖砂、取土；擅自新建、改建、扩建建（构）筑物；毁林开荒、乱砍滥伐林木；</w:t>
      </w:r>
      <w:r>
        <w:rPr>
          <w:rFonts w:hint="eastAsia" w:ascii="Times New Roman" w:hAnsi="Times New Roman" w:cs="Times New Roman"/>
          <w:sz w:val="24"/>
          <w:szCs w:val="21"/>
        </w:rPr>
        <w:t>未经许可擅自占用耕地、林地等行为；</w:t>
      </w:r>
      <w:r>
        <w:rPr>
          <w:rFonts w:ascii="Times New Roman" w:hAnsi="Times New Roman" w:cs="Times New Roman"/>
          <w:sz w:val="24"/>
          <w:szCs w:val="21"/>
        </w:rPr>
        <w:t>其他破坏山体的行为。</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在一般山体保护范围内，进行生产和建设活动的，应当依法经过批准。开采矿产资源或者进行其他工程建设的，应当编制并向有批准权的机关提供包括地质环境监测、地质灾害治理、水土保持、生态修复以及修复期限等内容的修复治理方案。</w:t>
      </w:r>
    </w:p>
    <w:p>
      <w:pPr>
        <w:spacing w:line="360" w:lineRule="auto"/>
        <w:ind w:firstLine="482" w:firstLineChars="200"/>
        <w:rPr>
          <w:rFonts w:ascii="Times New Roman" w:hAnsi="Times New Roman" w:cs="Times New Roman"/>
          <w:b/>
          <w:bCs/>
          <w:sz w:val="24"/>
          <w:szCs w:val="21"/>
        </w:rPr>
      </w:pPr>
      <w:r>
        <w:rPr>
          <w:rFonts w:hint="eastAsia" w:ascii="Times New Roman" w:hAnsi="Times New Roman" w:cs="Times New Roman"/>
          <w:b/>
          <w:bCs/>
          <w:sz w:val="24"/>
          <w:szCs w:val="21"/>
        </w:rPr>
        <w:t>二、保护措施</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1.</w:t>
      </w:r>
      <w:r>
        <w:rPr>
          <w:rFonts w:hint="eastAsia" w:ascii="Times New Roman" w:hAnsi="Times New Roman" w:cs="Times New Roman"/>
          <w:sz w:val="24"/>
          <w:szCs w:val="21"/>
        </w:rPr>
        <w:t>县（市、区）人民政府自然资源主管部门应当根据国家规定，对本行政区域内山体资源情况进行统一登记和档案管理，建立相应的数据库和信息管理系统。</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2.县（市、区）人民政府应当按照山体保护专项规划确定的山体保护控制线，设置统一的山体保护界桩、界牌，标明山体名称、保护级别、保护控制线、责任单位及投诉举报电话等。</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任何单位和个人不得侵占、擅自移动、损毁保护界桩、界牌等保护标识。</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3.重点保护名录的山体保护范围内禁止进行与山体保护无关的生产、建设活动，经依法批准的公共基础设施除外。</w:t>
      </w:r>
    </w:p>
    <w:p>
      <w:pPr>
        <w:spacing w:line="360" w:lineRule="auto"/>
        <w:ind w:firstLine="480" w:firstLineChars="200"/>
        <w:rPr>
          <w:rFonts w:ascii="Times New Roman" w:hAnsi="Times New Roman" w:cs="Times New Roman"/>
          <w:sz w:val="24"/>
          <w:szCs w:val="21"/>
        </w:rPr>
      </w:pPr>
      <w:r>
        <w:rPr>
          <w:rFonts w:hint="eastAsia" w:ascii="Times New Roman" w:hAnsi="Times New Roman" w:cs="Times New Roman"/>
          <w:sz w:val="24"/>
          <w:szCs w:val="21"/>
        </w:rPr>
        <w:t>在一般保护名录的山体保护范围内进行生产和建设活动的，应当依法经过批准。</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4.林业部门应当采取抚育间伐、植树造林、林分改造和病虫害防治等措施，保护山体生物多样性，促进林木更新，提高森林覆盖率和水源涵养能力，增强山体的生态功能。</w:t>
      </w:r>
    </w:p>
    <w:p>
      <w:pPr>
        <w:spacing w:line="360" w:lineRule="auto"/>
        <w:ind w:firstLine="482" w:firstLineChars="200"/>
        <w:rPr>
          <w:rFonts w:ascii="Times New Roman" w:hAnsi="Times New Roman" w:cs="Times New Roman"/>
          <w:b/>
          <w:bCs/>
          <w:sz w:val="24"/>
          <w:szCs w:val="21"/>
        </w:rPr>
      </w:pPr>
      <w:r>
        <w:rPr>
          <w:rFonts w:hint="eastAsia" w:ascii="Times New Roman" w:hAnsi="Times New Roman" w:cs="Times New Roman"/>
          <w:b/>
          <w:bCs/>
          <w:sz w:val="24"/>
          <w:szCs w:val="21"/>
        </w:rPr>
        <w:t>三、修复治理</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1.修复治理山体应当遵循生态修复、自然修复、因山施治、防灾减灾的原则，按照山体自然走向进行，保持山体结构和形态的完整性，不得对修复治理区域周边的生态环境造成新的破坏。</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2.在山体保护范围内，开采矿产资源或者进行其他工程建设的，应当编制并向有批准权的机关提供包括地质环境监测、地质灾害治理、水土保持、生态修复以及修复期限等内容的修复治理方案。</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3.山体修复治理按照谁开发谁修复、谁破坏谁治理的原则确定责任主体。</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4.县（市、区）人民政府自然资源主管部门负责监督、指导责任单位实施山体修复治理方案，并会同有关部门进行竣工验收。</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5.鼓励露天矿山在具备条件的前提下变更为非露天方式开采，减少对山体生态环境和植被的影响。</w:t>
      </w:r>
    </w:p>
    <w:p>
      <w:pPr>
        <w:spacing w:line="360" w:lineRule="auto"/>
        <w:ind w:firstLine="482" w:firstLineChars="200"/>
        <w:rPr>
          <w:rFonts w:ascii="Times New Roman" w:hAnsi="Times New Roman" w:cs="Times New Roman"/>
          <w:b/>
          <w:bCs/>
          <w:sz w:val="24"/>
          <w:szCs w:val="21"/>
        </w:rPr>
      </w:pPr>
      <w:r>
        <w:rPr>
          <w:rFonts w:hint="eastAsia" w:ascii="Times New Roman" w:hAnsi="Times New Roman" w:cs="Times New Roman"/>
          <w:b/>
          <w:bCs/>
          <w:sz w:val="24"/>
          <w:szCs w:val="21"/>
        </w:rPr>
        <w:t>四、监督管理</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1.建立山长制，明确山体保护工作责任人及其职责，统筹做好山体保护相关工作。</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2.县（市、区）人民政府应当明确山体保护的计划、目标、任务和措施，定期对山体保护专项规划实施情况以及山体资源保护状况进行监督检查，每年向同级人民代表大会或者其常务委员会报告山体保护情况，依法接受监督。</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3.县（市、区）、乡（镇）人民政府和街道办事处建立山体巡查制度。负有山体保护责任的单位和个人应当加强山体巡查，落实巡查制度，记录巡查情况，及时劝阻、制止侵占和破坏山体的违法行为，并向有关部门报告，有关部门接到报告后应当及时依法处理。</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4.县（市、区）人民政府应当建立山体保护联合执法机制，及时依法查处破坏山体的违法行为。</w:t>
      </w:r>
    </w:p>
    <w:p>
      <w:pPr>
        <w:spacing w:line="360" w:lineRule="auto"/>
        <w:ind w:firstLine="482" w:firstLineChars="200"/>
        <w:rPr>
          <w:rFonts w:ascii="Times New Roman" w:hAnsi="Times New Roman" w:cs="Times New Roman"/>
          <w:b/>
          <w:bCs/>
          <w:sz w:val="24"/>
          <w:szCs w:val="21"/>
        </w:rPr>
      </w:pPr>
      <w:r>
        <w:rPr>
          <w:rFonts w:hint="eastAsia" w:ascii="Times New Roman" w:hAnsi="Times New Roman" w:cs="Times New Roman"/>
          <w:b/>
          <w:bCs/>
          <w:sz w:val="24"/>
          <w:szCs w:val="21"/>
        </w:rPr>
        <w:t>五、部门职责</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1</w:t>
      </w:r>
      <w:r>
        <w:rPr>
          <w:rFonts w:hint="eastAsia" w:ascii="Times New Roman" w:hAnsi="Times New Roman" w:cs="Times New Roman"/>
          <w:sz w:val="24"/>
          <w:szCs w:val="21"/>
        </w:rPr>
        <w:t>.</w:t>
      </w:r>
      <w:r>
        <w:rPr>
          <w:rFonts w:ascii="Times New Roman" w:hAnsi="Times New Roman" w:cs="Times New Roman"/>
          <w:sz w:val="24"/>
          <w:szCs w:val="21"/>
        </w:rPr>
        <w:t>自然资源行政主管部门负责山体保护的监督管理工作，负责查处违法采矿、采石、挖砂、取土等破坏山体的行为。</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2.发展改革、公安、民政、生态环境、住房城乡建设、规划、水务、农业农村、文化和旅游、应急管理、林业等行政主管部门按照各自职责，做好山体保护的相关工作。</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3</w:t>
      </w:r>
      <w:r>
        <w:rPr>
          <w:rFonts w:hint="eastAsia" w:ascii="Times New Roman" w:hAnsi="Times New Roman" w:cs="Times New Roman"/>
          <w:sz w:val="24"/>
          <w:szCs w:val="21"/>
        </w:rPr>
        <w:t>.</w:t>
      </w:r>
      <w:r>
        <w:rPr>
          <w:rFonts w:ascii="Times New Roman" w:hAnsi="Times New Roman" w:cs="Times New Roman"/>
          <w:sz w:val="24"/>
          <w:szCs w:val="21"/>
        </w:rPr>
        <w:t>任何单位和个人都有权举报和制止破坏山体的行为。举报受理部门应当依法处理。</w:t>
      </w:r>
    </w:p>
    <w:p>
      <w:pPr>
        <w:spacing w:line="360" w:lineRule="auto"/>
        <w:ind w:firstLine="480" w:firstLineChars="200"/>
        <w:rPr>
          <w:rFonts w:ascii="Times New Roman" w:hAnsi="Times New Roman" w:cs="Times New Roman"/>
          <w:sz w:val="24"/>
          <w:szCs w:val="21"/>
        </w:rPr>
      </w:pPr>
      <w:r>
        <w:rPr>
          <w:rFonts w:ascii="Times New Roman" w:hAnsi="Times New Roman" w:cs="Times New Roman"/>
          <w:sz w:val="24"/>
          <w:szCs w:val="21"/>
        </w:rPr>
        <w:t>4</w:t>
      </w:r>
      <w:r>
        <w:rPr>
          <w:rFonts w:hint="eastAsia" w:ascii="Times New Roman" w:hAnsi="Times New Roman" w:cs="Times New Roman"/>
          <w:sz w:val="24"/>
          <w:szCs w:val="21"/>
        </w:rPr>
        <w:t>.</w:t>
      </w:r>
      <w:r>
        <w:rPr>
          <w:rFonts w:ascii="Times New Roman" w:hAnsi="Times New Roman" w:cs="Times New Roman"/>
          <w:sz w:val="24"/>
          <w:szCs w:val="21"/>
        </w:rPr>
        <w:t>部队、企业、学校等单位负责做好对权属范围内的山体保护工作。</w:t>
      </w:r>
    </w:p>
    <w:bookmarkEnd w:id="30"/>
    <w:p>
      <w:pPr>
        <w:widowControl/>
        <w:jc w:val="left"/>
        <w:rPr>
          <w:rFonts w:ascii="Times New Roman" w:hAnsi="Times New Roman" w:eastAsia="仿宋_GB2312" w:cs="Times New Roman"/>
          <w:sz w:val="30"/>
          <w:szCs w:val="30"/>
        </w:rPr>
      </w:pPr>
      <w:bookmarkStart w:id="31" w:name="_Toc131750835"/>
      <w:bookmarkStart w:id="32" w:name="_Toc91493518"/>
      <w:bookmarkStart w:id="33" w:name="_Toc154474112"/>
    </w:p>
    <w:p>
      <w:pPr>
        <w:widowControl/>
        <w:jc w:val="center"/>
        <w:rPr>
          <w:rFonts w:ascii="Times New Roman" w:hAnsi="Times New Roman" w:eastAsia="仿宋_GB2312" w:cs="Times New Roman"/>
          <w:sz w:val="30"/>
          <w:szCs w:val="30"/>
        </w:rPr>
      </w:pPr>
      <w:r>
        <w:rPr>
          <w:rFonts w:ascii="Times New Roman" w:hAnsi="Times New Roman" w:eastAsia="仿宋_GB2312" w:cs="Times New Roman"/>
          <w:sz w:val="30"/>
          <w:szCs w:val="30"/>
        </w:rPr>
        <w:t>第</w:t>
      </w:r>
      <w:r>
        <w:rPr>
          <w:rFonts w:hint="eastAsia" w:ascii="Times New Roman" w:hAnsi="Times New Roman" w:eastAsia="仿宋_GB2312" w:cs="Times New Roman"/>
          <w:sz w:val="30"/>
          <w:szCs w:val="30"/>
        </w:rPr>
        <w:t>四</w:t>
      </w:r>
      <w:r>
        <w:rPr>
          <w:rFonts w:ascii="Times New Roman" w:hAnsi="Times New Roman" w:eastAsia="仿宋_GB2312" w:cs="Times New Roman"/>
          <w:sz w:val="30"/>
          <w:szCs w:val="30"/>
        </w:rPr>
        <w:t xml:space="preserve">章  </w:t>
      </w:r>
      <w:bookmarkEnd w:id="31"/>
      <w:bookmarkEnd w:id="32"/>
      <w:r>
        <w:rPr>
          <w:rFonts w:hint="eastAsia" w:ascii="Times New Roman" w:hAnsi="Times New Roman" w:eastAsia="仿宋_GB2312" w:cs="Times New Roman"/>
          <w:sz w:val="30"/>
          <w:szCs w:val="30"/>
        </w:rPr>
        <w:t>山体保护重点工程</w:t>
      </w:r>
      <w:bookmarkEnd w:id="33"/>
    </w:p>
    <w:p>
      <w:pPr>
        <w:pStyle w:val="3"/>
        <w:widowControl/>
        <w:spacing w:before="120" w:after="120" w:line="360" w:lineRule="auto"/>
        <w:jc w:val="center"/>
        <w:rPr>
          <w:rFonts w:ascii="Times New Roman" w:hAnsi="Times New Roman" w:eastAsia="仿宋_GB2312" w:cs="Times New Roman"/>
          <w:kern w:val="0"/>
          <w:sz w:val="28"/>
          <w:szCs w:val="28"/>
        </w:rPr>
      </w:pPr>
      <w:bookmarkStart w:id="34" w:name="_Toc131750838"/>
      <w:bookmarkStart w:id="35" w:name="_Toc154474113"/>
      <w:bookmarkStart w:id="36" w:name="_Toc91493519"/>
      <w:bookmarkStart w:id="37" w:name="_Toc131750836"/>
      <w:r>
        <w:rPr>
          <w:rFonts w:ascii="Times New Roman" w:hAnsi="Times New Roman" w:eastAsia="仿宋_GB2312" w:cs="Times New Roman"/>
          <w:kern w:val="0"/>
          <w:sz w:val="28"/>
          <w:szCs w:val="28"/>
        </w:rPr>
        <w:t>第一节</w:t>
      </w:r>
      <w:r>
        <w:rPr>
          <w:rFonts w:hint="eastAsia" w:ascii="Times New Roman" w:hAnsi="Times New Roman" w:eastAsia="仿宋_GB2312" w:cs="Times New Roman"/>
          <w:kern w:val="0"/>
          <w:sz w:val="28"/>
          <w:szCs w:val="28"/>
        </w:rPr>
        <w:t xml:space="preserve"> </w:t>
      </w:r>
      <w:r>
        <w:rPr>
          <w:rFonts w:ascii="Times New Roman" w:hAnsi="Times New Roman" w:eastAsia="仿宋_GB2312" w:cs="Times New Roman"/>
          <w:kern w:val="0"/>
          <w:sz w:val="28"/>
          <w:szCs w:val="28"/>
        </w:rPr>
        <w:t>山体森林</w:t>
      </w:r>
      <w:bookmarkEnd w:id="34"/>
      <w:r>
        <w:rPr>
          <w:rFonts w:ascii="Times New Roman" w:hAnsi="Times New Roman" w:eastAsia="仿宋_GB2312" w:cs="Times New Roman"/>
          <w:kern w:val="0"/>
          <w:sz w:val="28"/>
          <w:szCs w:val="28"/>
        </w:rPr>
        <w:t>资源保护</w:t>
      </w:r>
      <w:bookmarkEnd w:id="35"/>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强化森林生态建设，做大做强林业产业，加大森林资源保护力度，构建与渑池县区位相匹配的良好生态环境。大力推进国土绿化、廊道绿化建设、林业生态和产业建设等森林生态工程建设，实现“应绿尽绿”。以森林城市建设为抓手，逐步改造单一的城郊林分结构，营造多树种、多层次、多色彩的自然景观，打造生态风景林。推进生态保护和修复，加快绿色产业集群的形成和升级，调整优化经济结构，转变经济发展方式，形成经济发展新的增长点，从而推动绿色制造业和绿色服务业兴起，实现“既要金山银山，又要绿水青山”。</w:t>
      </w:r>
    </w:p>
    <w:p>
      <w:pPr>
        <w:spacing w:line="360" w:lineRule="auto"/>
        <w:rPr>
          <w:rFonts w:ascii="Times New Roman" w:hAnsi="Times New Roman" w:cs="Times New Roman"/>
          <w:sz w:val="24"/>
          <w:szCs w:val="32"/>
        </w:rPr>
      </w:pPr>
      <w:r>
        <w:rPr>
          <w:rFonts w:ascii="Times New Roman" w:hAnsi="Times New Roman" w:cs="Times New Roman"/>
          <w:sz w:val="24"/>
          <w:szCs w:val="32"/>
        </w:rPr>
        <w:t xml:space="preserve">    1.工程分布范围</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渑池县山体范围内具有水土保持和水源涵养功能的区域；</w:t>
      </w:r>
      <w:r>
        <w:rPr>
          <w:rFonts w:hint="eastAsia" w:ascii="Times New Roman" w:hAnsi="Times New Roman" w:eastAsia="仿宋_GB2312" w:cs="Times New Roman"/>
          <w:color w:val="auto"/>
          <w:sz w:val="24"/>
          <w:szCs w:val="32"/>
          <w:lang w:val="en-US" w:bidi="ar-SA"/>
        </w:rPr>
        <w:t>山区生态林</w:t>
      </w:r>
      <w:r>
        <w:rPr>
          <w:rFonts w:ascii="Times New Roman" w:hAnsi="Times New Roman" w:eastAsia="仿宋_GB2312" w:cs="Times New Roman"/>
          <w:color w:val="auto"/>
          <w:sz w:val="24"/>
          <w:szCs w:val="32"/>
          <w:lang w:val="en-US" w:bidi="ar-SA"/>
        </w:rPr>
        <w:t>以及生态治理</w:t>
      </w:r>
      <w:r>
        <w:rPr>
          <w:rFonts w:hint="eastAsia" w:ascii="Times New Roman" w:hAnsi="Times New Roman" w:eastAsia="仿宋_GB2312" w:cs="Times New Roman"/>
          <w:color w:val="auto"/>
          <w:sz w:val="24"/>
          <w:szCs w:val="32"/>
          <w:lang w:val="en-US" w:bidi="ar-SA"/>
        </w:rPr>
        <w:t>区域</w:t>
      </w:r>
      <w:r>
        <w:rPr>
          <w:rFonts w:ascii="Times New Roman" w:hAnsi="Times New Roman" w:eastAsia="仿宋_GB2312" w:cs="Times New Roman"/>
          <w:color w:val="auto"/>
          <w:sz w:val="24"/>
          <w:szCs w:val="32"/>
          <w:lang w:val="en-US" w:bidi="ar-SA"/>
        </w:rPr>
        <w:t>。</w:t>
      </w:r>
    </w:p>
    <w:p>
      <w:pPr>
        <w:spacing w:line="360" w:lineRule="auto"/>
        <w:rPr>
          <w:rFonts w:ascii="Times New Roman" w:hAnsi="Times New Roman" w:cs="Times New Roman"/>
          <w:sz w:val="24"/>
          <w:szCs w:val="32"/>
        </w:rPr>
      </w:pPr>
      <w:r>
        <w:rPr>
          <w:rFonts w:ascii="Times New Roman" w:hAnsi="Times New Roman" w:cs="Times New Roman"/>
          <w:sz w:val="24"/>
          <w:szCs w:val="32"/>
        </w:rPr>
        <w:t xml:space="preserve">    2.保护修复措施</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在森林城市建设方面，以森林生态体系、林业产业体系、森林生态文化体系建设为重点，以科技为先导，推动绿色、低碳、循环发展，构筑以森林生态系统为主体的生态安全体系，建立具有地域生态经济特色的林业产业体系，实现县城与森林、湿地等生态系统融合。大力推进城市绿化，构建林城水路田相拥相依的城市森林生态系统，提升城市生态景观；美化人居环境，提高市民幸福指数；着力推进村镇绿化，实现城乡绿化一体化；着力推进荒山荒地绿化、矿区植被恢复、通道绿化、水岸绿化和加强森林湿地保护，构筑森林生态安全屏障；着力推进苗木花卉、优质林果、林下经济和森林生态旅游等产业集群发展和产业园建设。通过加强省级和国家森林城市建设，不断改善全市城乡生态面貌，提高人居环境质量，传播生态文明理念，促进绿色发展。</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在森林质量提升方面，通过中幼林和新造林抚育，不断提高林分质量，促进森林结构健康稳定发展，促进新造林快速成林。</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在森林资源保护方面，进一步完善渑池县野生动植物保护管理体系，着力加强保护管理机构、自然保护区的基础设施和保护管理人才队伍的建设，全面提高渑池县野生动植物保护管理水平和能力，更好的维护区域生物多样性和生态系统的平衡稳定。</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在林业产业融合发展方面，壮大以森林休闲观光、森林康养为主的森林旅游服务业，通过打造林业产业集群和优化林业产业结构，推进林业三产融合发展，加快林业产业提档升级，构建“大基地、大龙头、大园区、大集群”的林业产业格局，全面提高林业产业发展水平。</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规划期内成功创建省级森林城市，省级、国家级森林乡村20个以上，乡村绿化覆盖率达到35%以上。</w:t>
      </w:r>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3. 工程部署</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在自然条件适宜地区，通过人工林集约栽培、现有林改培、抚育及补植补造等措施，营造和培育的工业原料林、乡土树种、珍稀树种和大径级用材林等多功能森林。国家储备林基地建设是推进生态文明建设、全面保护天然林资源、深化林业改革的一项重要举措，是创新林业投融资体制的重要载体，对维护国家生态安全和木材安全具有十分重要的意义。</w:t>
      </w:r>
    </w:p>
    <w:tbl>
      <w:tblPr>
        <w:tblStyle w:val="19"/>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497" w:type="dxa"/>
            <w:vAlign w:val="center"/>
          </w:tcPr>
          <w:p>
            <w:pPr>
              <w:widowControl/>
              <w:jc w:val="center"/>
              <w:rPr>
                <w:rFonts w:ascii="Times New Roman" w:hAnsi="Times New Roman" w:cs="Times New Roman"/>
                <w:b/>
                <w:color w:val="000000"/>
                <w:kern w:val="0"/>
                <w:sz w:val="24"/>
                <w:lang w:bidi="ar"/>
              </w:rPr>
            </w:pPr>
            <w:r>
              <w:rPr>
                <w:rFonts w:ascii="Times New Roman" w:hAnsi="Times New Roman" w:cs="Times New Roman"/>
                <w:sz w:val="24"/>
                <w:szCs w:val="32"/>
              </w:rPr>
              <w:t xml:space="preserve">  </w:t>
            </w:r>
            <w:r>
              <w:rPr>
                <w:rFonts w:ascii="Times New Roman" w:hAnsi="Times New Roman" w:cs="Times New Roman"/>
                <w:b/>
                <w:color w:val="000000"/>
                <w:kern w:val="0"/>
                <w:sz w:val="24"/>
                <w:lang w:bidi="ar"/>
              </w:rPr>
              <w:t>专栏</w:t>
            </w:r>
            <w:r>
              <w:rPr>
                <w:rFonts w:hint="eastAsia" w:ascii="Times New Roman" w:hAnsi="Times New Roman" w:cs="Times New Roman"/>
                <w:b/>
                <w:color w:val="000000"/>
                <w:kern w:val="0"/>
                <w:sz w:val="24"/>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7" w:type="dxa"/>
            <w:vAlign w:val="center"/>
          </w:tcPr>
          <w:p>
            <w:pPr>
              <w:spacing w:line="360" w:lineRule="auto"/>
              <w:rPr>
                <w:rFonts w:ascii="Times New Roman" w:hAnsi="Times New Roman" w:cs="Times New Roman"/>
                <w:b/>
                <w:sz w:val="24"/>
              </w:rPr>
            </w:pPr>
            <w:r>
              <w:rPr>
                <w:rFonts w:ascii="Times New Roman" w:hAnsi="Times New Roman" w:cs="Times New Roman"/>
                <w:b/>
                <w:sz w:val="24"/>
              </w:rPr>
              <w:t>1、山区生态林工程</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建设内容：建设水源涵养林，以水库汇水区、河流水源地为重点。水土保持林，以低山和黄土丘陵区域、主要河流两侧第一层山脊以内区域及通道可视范围、山体植被覆盖度小的坡面和生态脆弱区域为重点。</w:t>
            </w:r>
          </w:p>
          <w:p>
            <w:pPr>
              <w:spacing w:line="360" w:lineRule="auto"/>
              <w:rPr>
                <w:rFonts w:ascii="Times New Roman" w:hAnsi="Times New Roman" w:cs="Times New Roman"/>
                <w:b/>
                <w:sz w:val="24"/>
              </w:rPr>
            </w:pPr>
            <w:r>
              <w:rPr>
                <w:rFonts w:ascii="Times New Roman" w:hAnsi="Times New Roman" w:cs="Times New Roman"/>
                <w:b/>
                <w:sz w:val="24"/>
              </w:rPr>
              <w:t>2、矿区生态治理工程</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建设内容：采取工程措施与生态治理相结合的方式，宜乔则乔，宜灌则灌，宜草则草，宜藤则藤，乔灌藤草相结合，实施矿区生态修复。</w:t>
            </w:r>
          </w:p>
          <w:p>
            <w:pPr>
              <w:spacing w:line="360" w:lineRule="auto"/>
              <w:rPr>
                <w:rFonts w:ascii="Times New Roman" w:hAnsi="Times New Roman" w:cs="Times New Roman"/>
                <w:b/>
                <w:sz w:val="24"/>
              </w:rPr>
            </w:pPr>
            <w:r>
              <w:rPr>
                <w:rFonts w:ascii="Times New Roman" w:hAnsi="Times New Roman" w:cs="Times New Roman"/>
                <w:b/>
                <w:sz w:val="24"/>
              </w:rPr>
              <w:t>3、国家储备林工程</w:t>
            </w:r>
          </w:p>
          <w:p>
            <w:pPr>
              <w:pStyle w:val="38"/>
              <w:ind w:firstLine="480" w:firstLineChars="200"/>
              <w:rPr>
                <w:rFonts w:ascii="Times New Roman" w:hAnsi="Times New Roman" w:eastAsia="仿宋_GB2312" w:cs="Times New Roman"/>
                <w:color w:val="FF0000"/>
                <w:sz w:val="24"/>
              </w:rPr>
            </w:pPr>
            <w:r>
              <w:rPr>
                <w:rFonts w:ascii="Times New Roman" w:hAnsi="Times New Roman" w:eastAsia="仿宋_GB2312" w:cs="Times New Roman"/>
                <w:color w:val="auto"/>
                <w:sz w:val="24"/>
                <w:szCs w:val="32"/>
                <w:lang w:val="en-US" w:bidi="ar-SA"/>
              </w:rPr>
              <w:t>建设内容：利用人工造林、现有林改培、中幼林抚育等培育方式，通过采取优化树种、林木径级和林龄结构的集约经营措施，实现森林质量和数量提升；同时依托储备林建设，加快国土绿化提速行动，推动国土绿化高质量发展。</w:t>
            </w:r>
          </w:p>
        </w:tc>
      </w:tr>
    </w:tbl>
    <w:p>
      <w:pPr>
        <w:pStyle w:val="41"/>
        <w:spacing w:before="0" w:beforeAutospacing="0" w:after="0"/>
        <w:ind w:left="0" w:leftChars="0" w:firstLine="0"/>
        <w:rPr>
          <w:rFonts w:ascii="Times New Roman" w:hAnsi="Times New Roman" w:eastAsia="仿宋_GB2312" w:cs="Times New Roman"/>
          <w:color w:val="auto"/>
          <w:sz w:val="24"/>
          <w:szCs w:val="32"/>
        </w:rPr>
      </w:pPr>
    </w:p>
    <w:p>
      <w:pPr>
        <w:pStyle w:val="3"/>
        <w:widowControl/>
        <w:spacing w:before="120" w:after="120" w:line="360" w:lineRule="auto"/>
        <w:jc w:val="center"/>
        <w:rPr>
          <w:rFonts w:ascii="Times New Roman" w:hAnsi="Times New Roman" w:eastAsia="仿宋_GB2312" w:cs="Times New Roman"/>
          <w:kern w:val="0"/>
          <w:sz w:val="28"/>
          <w:szCs w:val="28"/>
        </w:rPr>
      </w:pPr>
      <w:bookmarkStart w:id="38" w:name="_Toc8539"/>
      <w:bookmarkStart w:id="39" w:name="_Toc131750837"/>
      <w:bookmarkStart w:id="40" w:name="_Toc154474114"/>
      <w:bookmarkStart w:id="41" w:name="_Toc91493520"/>
      <w:r>
        <w:rPr>
          <w:rFonts w:ascii="Times New Roman" w:hAnsi="Times New Roman" w:eastAsia="仿宋_GB2312" w:cs="Times New Roman"/>
          <w:kern w:val="0"/>
          <w:sz w:val="28"/>
          <w:szCs w:val="28"/>
        </w:rPr>
        <w:t>第二节 构筑水资源安全屏障</w:t>
      </w:r>
      <w:bookmarkEnd w:id="38"/>
      <w:bookmarkEnd w:id="39"/>
      <w:r>
        <w:rPr>
          <w:rFonts w:ascii="Times New Roman" w:hAnsi="Times New Roman" w:eastAsia="仿宋_GB2312" w:cs="Times New Roman"/>
          <w:kern w:val="0"/>
          <w:sz w:val="28"/>
          <w:szCs w:val="28"/>
        </w:rPr>
        <w:t>与水土保持</w:t>
      </w:r>
      <w:bookmarkEnd w:id="40"/>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着力践行构建河南省黄河治理与保护十大体系，</w:t>
      </w:r>
      <w:bookmarkStart w:id="42" w:name="_Hlk135664943"/>
      <w:r>
        <w:rPr>
          <w:rFonts w:ascii="Times New Roman" w:hAnsi="Times New Roman" w:eastAsia="仿宋_GB2312" w:cs="Times New Roman"/>
          <w:color w:val="auto"/>
          <w:sz w:val="24"/>
          <w:szCs w:val="32"/>
          <w:lang w:val="en-US" w:bidi="ar-SA"/>
        </w:rPr>
        <w:t>保护黄河湿地，加强河道治理，治理水土流失</w:t>
      </w:r>
      <w:bookmarkEnd w:id="42"/>
      <w:r>
        <w:rPr>
          <w:rFonts w:ascii="Times New Roman" w:hAnsi="Times New Roman" w:eastAsia="仿宋_GB2312" w:cs="Times New Roman"/>
          <w:color w:val="auto"/>
          <w:sz w:val="24"/>
          <w:szCs w:val="32"/>
          <w:lang w:val="en-US" w:bidi="ar-SA"/>
        </w:rPr>
        <w:t>，加大矿山治理与生态恢复，保障黄河安澜，构筑生态安全屏障。按照整体推进、局部优先、突出重点的原则，保护黄河湿地，加强河道治理，治理水土流失。</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1.工程分布范围</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河道治理主要涉及黄河干流以及主要支流等区域内的坡头乡、段村乡和南村乡，湿地主要涉及黄河湿地国家自然保护区（渑池段）。</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2.保护修复措施</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1）加强河道治理。以黄河干流、河渠、湖库为重点，推动黄河渑池段治理项目。完成一河两沟综合治理、涧河影响行洪安全剩余河道的综合整治项目等，改善河流生态环境，提高河道行洪能力。加强刘头水库、芮沟水库等库周地质灾害治理。重点实施黄河渑池段沿黄生态廊道示范工程，完善全域绿化体系，推进国土绿化提质增效。以矿山生态修复、防控河岸采矿弃渣等为重点，加大黄河沿岸管理监控能力。持续做好河湖采砂专项整治，防止水事违法行为。完善防控能力，推进信息化手段应用，做好黄河湿地27个环保遥感监测点日常维护及使用。</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2）严控水土流失。严控人为水土流失，重点开展生态清洁小流域建设。推行“山长制”，加大山体保护，实施梯田、淤地坝、谷坊等工程措施，水保林、经济林、封育治理等植物措施，提高林草覆盖率。坚持预防保护、生态修复与综合治理并重，推动生态修复、面源污染防治、农村人居环境改善及河沟和库周整治。实施水土保持动态监测和综合监管，加快构建布局合理、功能完备的水土保护监测网络。</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3）提升湿地功能。以黄河湿地国家自然保护区（渑池段）为重点，依托洪阳河、淮阳湖以及其他水库等建设中小型湿地公园。结合农村人居环境整治，积极开展乡村田园湿地、小微湿地建设。大力开展退耕还湿、退养还滩、扩水增湿、生态补水，稳定和扩大湿地面积。</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3. 工程部署</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坚持“在保护中开发、在开发中保护”的指导方针，贯彻环境优先的理念，使</w:t>
      </w:r>
      <w:r>
        <w:rPr>
          <w:rFonts w:hint="eastAsia" w:ascii="Times New Roman" w:hAnsi="Times New Roman" w:eastAsia="仿宋_GB2312" w:cs="Times New Roman"/>
          <w:color w:val="auto"/>
          <w:sz w:val="24"/>
          <w:szCs w:val="32"/>
          <w:lang w:val="en-US" w:bidi="ar-SA"/>
        </w:rPr>
        <w:t>水资源</w:t>
      </w:r>
      <w:r>
        <w:rPr>
          <w:rFonts w:ascii="Times New Roman" w:hAnsi="Times New Roman" w:eastAsia="仿宋_GB2312" w:cs="Times New Roman"/>
          <w:color w:val="auto"/>
          <w:sz w:val="24"/>
          <w:szCs w:val="32"/>
          <w:lang w:val="en-US" w:bidi="ar-SA"/>
        </w:rPr>
        <w:t>生态环境得到改善。</w:t>
      </w:r>
    </w:p>
    <w:tbl>
      <w:tblPr>
        <w:tblStyle w:val="19"/>
        <w:tblW w:w="8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563" w:type="dxa"/>
            <w:vAlign w:val="center"/>
          </w:tcPr>
          <w:p>
            <w:pPr>
              <w:widowControl/>
              <w:jc w:val="center"/>
              <w:rPr>
                <w:rFonts w:ascii="Times New Roman" w:hAnsi="Times New Roman" w:cs="Times New Roman"/>
                <w:b/>
                <w:kern w:val="0"/>
                <w:sz w:val="24"/>
                <w:lang w:bidi="ar"/>
              </w:rPr>
            </w:pPr>
            <w:r>
              <w:rPr>
                <w:rFonts w:ascii="Times New Roman" w:hAnsi="Times New Roman" w:cs="Times New Roman"/>
                <w:b/>
                <w:kern w:val="0"/>
                <w:sz w:val="24"/>
                <w:lang w:bidi="ar"/>
              </w:rPr>
              <w:t>专栏2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563" w:type="dxa"/>
            <w:vAlign w:val="center"/>
          </w:tcPr>
          <w:p>
            <w:pPr>
              <w:widowControl/>
              <w:spacing w:line="360" w:lineRule="auto"/>
              <w:rPr>
                <w:rFonts w:ascii="Times New Roman" w:hAnsi="Times New Roman" w:cs="Times New Roman"/>
                <w:b/>
                <w:kern w:val="0"/>
                <w:sz w:val="24"/>
                <w:lang w:bidi="ar"/>
              </w:rPr>
            </w:pPr>
            <w:r>
              <w:rPr>
                <w:rFonts w:ascii="Times New Roman" w:hAnsi="Times New Roman" w:cs="Times New Roman"/>
                <w:b/>
                <w:kern w:val="0"/>
                <w:sz w:val="24"/>
                <w:lang w:bidi="ar"/>
              </w:rPr>
              <w:t>1.</w:t>
            </w:r>
            <w:r>
              <w:rPr>
                <w:rFonts w:ascii="Times New Roman" w:hAnsi="Times New Roman" w:cs="Times New Roman"/>
              </w:rPr>
              <w:t xml:space="preserve"> </w:t>
            </w:r>
            <w:r>
              <w:rPr>
                <w:rFonts w:ascii="Times New Roman" w:hAnsi="Times New Roman" w:cs="Times New Roman"/>
                <w:b/>
                <w:kern w:val="0"/>
                <w:sz w:val="24"/>
                <w:lang w:bidi="ar"/>
              </w:rPr>
              <w:t>水利设施能力提升工程</w:t>
            </w:r>
          </w:p>
          <w:p>
            <w:pPr>
              <w:spacing w:line="360" w:lineRule="auto"/>
              <w:rPr>
                <w:rFonts w:ascii="Times New Roman" w:hAnsi="Times New Roman" w:cs="Times New Roman"/>
                <w:bCs/>
                <w:kern w:val="0"/>
                <w:sz w:val="24"/>
              </w:rPr>
            </w:pPr>
            <w:r>
              <w:rPr>
                <w:rFonts w:ascii="Times New Roman" w:hAnsi="Times New Roman" w:cs="Times New Roman"/>
                <w:sz w:val="24"/>
              </w:rPr>
              <w:t xml:space="preserve">  </w:t>
            </w:r>
            <w:r>
              <w:rPr>
                <w:rFonts w:ascii="Times New Roman" w:hAnsi="Times New Roman" w:cs="Times New Roman"/>
                <w:bCs/>
                <w:kern w:val="0"/>
                <w:sz w:val="24"/>
              </w:rPr>
              <w:t xml:space="preserve">  </w:t>
            </w:r>
            <w:r>
              <w:rPr>
                <w:rFonts w:ascii="Times New Roman" w:hAnsi="Times New Roman" w:cs="Times New Roman"/>
                <w:sz w:val="24"/>
                <w:szCs w:val="32"/>
              </w:rPr>
              <w:t>建设内容：</w:t>
            </w:r>
            <w:r>
              <w:rPr>
                <w:rFonts w:ascii="Times New Roman" w:hAnsi="Times New Roman" w:cs="Times New Roman"/>
                <w:bCs/>
                <w:kern w:val="0"/>
                <w:sz w:val="24"/>
              </w:rPr>
              <w:t>小浪底水库地质灾害处理项目、已建水利工程特别是中小型水利工程防治灾害能力提升工程、黄河支流涧河渑池段污染应急防御工程等。</w:t>
            </w:r>
          </w:p>
          <w:p>
            <w:pPr>
              <w:spacing w:line="360" w:lineRule="auto"/>
              <w:rPr>
                <w:rFonts w:ascii="Times New Roman" w:hAnsi="Times New Roman" w:cs="Times New Roman"/>
                <w:b/>
                <w:kern w:val="0"/>
                <w:sz w:val="24"/>
                <w:lang w:bidi="ar"/>
              </w:rPr>
            </w:pPr>
            <w:r>
              <w:rPr>
                <w:rFonts w:ascii="Times New Roman" w:hAnsi="Times New Roman" w:cs="Times New Roman"/>
                <w:b/>
                <w:kern w:val="0"/>
                <w:sz w:val="24"/>
                <w:lang w:bidi="ar"/>
              </w:rPr>
              <w:t>2.</w:t>
            </w:r>
            <w:r>
              <w:rPr>
                <w:rFonts w:ascii="Times New Roman" w:hAnsi="Times New Roman" w:cs="Times New Roman"/>
              </w:rPr>
              <w:t xml:space="preserve"> </w:t>
            </w:r>
            <w:r>
              <w:rPr>
                <w:rFonts w:ascii="Times New Roman" w:hAnsi="Times New Roman" w:cs="Times New Roman"/>
                <w:b/>
                <w:kern w:val="0"/>
                <w:sz w:val="24"/>
                <w:lang w:bidi="ar"/>
              </w:rPr>
              <w:t>河道综合治理工程</w:t>
            </w:r>
          </w:p>
          <w:p>
            <w:pPr>
              <w:spacing w:line="360" w:lineRule="auto"/>
              <w:ind w:firstLine="480" w:firstLineChars="200"/>
              <w:rPr>
                <w:rFonts w:ascii="Times New Roman" w:hAnsi="Times New Roman" w:cs="Times New Roman"/>
                <w:bCs/>
                <w:kern w:val="0"/>
                <w:sz w:val="24"/>
              </w:rPr>
            </w:pPr>
            <w:r>
              <w:rPr>
                <w:rFonts w:ascii="Times New Roman" w:hAnsi="Times New Roman" w:cs="Times New Roman"/>
                <w:sz w:val="24"/>
                <w:szCs w:val="32"/>
              </w:rPr>
              <w:t>建设内容：</w:t>
            </w:r>
            <w:r>
              <w:rPr>
                <w:rFonts w:ascii="Times New Roman" w:hAnsi="Times New Roman" w:cs="Times New Roman"/>
                <w:bCs/>
                <w:kern w:val="0"/>
                <w:sz w:val="24"/>
              </w:rPr>
              <w:t>涧河生态修复项目、“一河两沟”综合治理项目、南村西湾泥沙治理项目、黄河湿地渑池段生态修复治理项目、西段村水库（槐阳湖）下游水系建设项目。</w:t>
            </w:r>
          </w:p>
          <w:p>
            <w:pPr>
              <w:spacing w:line="360" w:lineRule="auto"/>
              <w:rPr>
                <w:rFonts w:ascii="Times New Roman" w:hAnsi="Times New Roman" w:cs="Times New Roman"/>
                <w:b/>
                <w:kern w:val="0"/>
                <w:sz w:val="24"/>
                <w:lang w:bidi="ar"/>
              </w:rPr>
            </w:pPr>
            <w:r>
              <w:rPr>
                <w:rFonts w:ascii="Times New Roman" w:hAnsi="Times New Roman" w:cs="Times New Roman"/>
                <w:b/>
                <w:kern w:val="0"/>
                <w:sz w:val="24"/>
                <w:lang w:bidi="ar"/>
              </w:rPr>
              <w:t>3.</w:t>
            </w:r>
            <w:r>
              <w:rPr>
                <w:rFonts w:ascii="Times New Roman" w:hAnsi="Times New Roman" w:cs="Times New Roman"/>
              </w:rPr>
              <w:t xml:space="preserve"> </w:t>
            </w:r>
            <w:r>
              <w:rPr>
                <w:rFonts w:ascii="Times New Roman" w:hAnsi="Times New Roman" w:cs="Times New Roman"/>
                <w:b/>
                <w:kern w:val="0"/>
                <w:sz w:val="24"/>
                <w:lang w:bidi="ar"/>
              </w:rPr>
              <w:t>水土保持及流域综合治理项目</w:t>
            </w:r>
          </w:p>
          <w:p>
            <w:pPr>
              <w:spacing w:line="360" w:lineRule="auto"/>
              <w:ind w:firstLine="480" w:firstLineChars="200"/>
              <w:rPr>
                <w:rFonts w:ascii="Times New Roman" w:hAnsi="Times New Roman" w:cs="Times New Roman"/>
                <w:bCs/>
                <w:kern w:val="0"/>
                <w:sz w:val="24"/>
                <w:szCs w:val="21"/>
              </w:rPr>
            </w:pPr>
            <w:r>
              <w:rPr>
                <w:rFonts w:ascii="Times New Roman" w:hAnsi="Times New Roman" w:cs="Times New Roman"/>
                <w:sz w:val="24"/>
                <w:szCs w:val="32"/>
              </w:rPr>
              <w:t>建设内容：</w:t>
            </w:r>
            <w:r>
              <w:rPr>
                <w:rFonts w:ascii="Times New Roman" w:hAnsi="Times New Roman" w:cs="Times New Roman"/>
                <w:bCs/>
                <w:kern w:val="0"/>
                <w:sz w:val="24"/>
              </w:rPr>
              <w:t>渑池县全流域河道综合治理项目，坡头乡十万亩水土保持及水土涵养林项目，生态清洁型小流域治理项目，黄河流域南村段水土保持生态清洁型小流域综合治理项目</w:t>
            </w:r>
            <w:r>
              <w:rPr>
                <w:rFonts w:ascii="Times New Roman" w:hAnsi="Times New Roman" w:cs="Times New Roman"/>
                <w:sz w:val="24"/>
              </w:rPr>
              <w:t>。</w:t>
            </w:r>
          </w:p>
        </w:tc>
      </w:tr>
      <w:bookmarkEnd w:id="41"/>
    </w:tbl>
    <w:p>
      <w:pPr>
        <w:pStyle w:val="3"/>
        <w:widowControl/>
        <w:spacing w:before="120" w:after="120" w:line="360" w:lineRule="auto"/>
        <w:jc w:val="center"/>
        <w:rPr>
          <w:rFonts w:ascii="Times New Roman" w:hAnsi="Times New Roman" w:eastAsia="仿宋_GB2312" w:cs="Times New Roman"/>
          <w:kern w:val="0"/>
          <w:sz w:val="28"/>
          <w:szCs w:val="28"/>
        </w:rPr>
      </w:pPr>
      <w:bookmarkStart w:id="43" w:name="_Toc154474115"/>
      <w:r>
        <w:rPr>
          <w:rFonts w:ascii="Times New Roman" w:hAnsi="Times New Roman" w:eastAsia="仿宋_GB2312" w:cs="Times New Roman"/>
          <w:kern w:val="0"/>
          <w:sz w:val="28"/>
          <w:szCs w:val="28"/>
        </w:rPr>
        <w:t>第三节 耕地资源保护</w:t>
      </w:r>
      <w:bookmarkEnd w:id="43"/>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坚持保护耕地资源，压实耕地保护主体责任，完善耕地保护共同责任机制，强化属地政府主体责任。严格执行永久基本农田特殊保护政策，推动高标准农田建设及耕地质量提升，改善农田生态环境，建设永久基本农田集中保护区。</w:t>
      </w:r>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稳固粮食生产能力，扛稳粮食安全重任。严守耕地保护红线，深入推进农业供给侧结构性改革，大力发展“畜椒药”特色农业，立足国家现代农业示范区优势，推动渑池农业绿色、优质、特色、品牌化发展，打造三门峡东部畜椒药特色农业板块。</w:t>
      </w:r>
    </w:p>
    <w:p>
      <w:pPr>
        <w:spacing w:line="360" w:lineRule="auto"/>
        <w:rPr>
          <w:rFonts w:ascii="Times New Roman" w:hAnsi="Times New Roman" w:cs="Times New Roman"/>
          <w:sz w:val="24"/>
          <w:szCs w:val="32"/>
        </w:rPr>
      </w:pPr>
      <w:r>
        <w:rPr>
          <w:rFonts w:ascii="Times New Roman" w:hAnsi="Times New Roman" w:cs="Times New Roman"/>
          <w:sz w:val="24"/>
          <w:szCs w:val="32"/>
        </w:rPr>
        <w:t xml:space="preserve">    1.工程分布范围</w:t>
      </w:r>
    </w:p>
    <w:p>
      <w:pPr>
        <w:pStyle w:val="38"/>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渑池县山体范围内耕地资源，包括</w:t>
      </w:r>
      <w:r>
        <w:rPr>
          <w:rFonts w:hint="eastAsia" w:ascii="Times New Roman" w:hAnsi="Times New Roman" w:eastAsia="仿宋_GB2312" w:cs="Times New Roman"/>
          <w:color w:val="auto"/>
          <w:sz w:val="24"/>
          <w:szCs w:val="32"/>
          <w:lang w:val="en-US" w:bidi="ar-SA"/>
        </w:rPr>
        <w:t>耕地、园地</w:t>
      </w:r>
      <w:r>
        <w:rPr>
          <w:rFonts w:ascii="Times New Roman" w:hAnsi="Times New Roman" w:eastAsia="仿宋_GB2312" w:cs="Times New Roman"/>
          <w:color w:val="auto"/>
          <w:sz w:val="24"/>
          <w:szCs w:val="32"/>
          <w:lang w:val="en-US" w:bidi="ar-SA"/>
        </w:rPr>
        <w:t>及特色农产品区域。</w:t>
      </w:r>
    </w:p>
    <w:p>
      <w:pPr>
        <w:spacing w:line="360" w:lineRule="auto"/>
        <w:rPr>
          <w:rFonts w:ascii="Times New Roman" w:hAnsi="Times New Roman" w:cs="Times New Roman"/>
          <w:sz w:val="24"/>
        </w:rPr>
      </w:pPr>
      <w:r>
        <w:rPr>
          <w:rFonts w:ascii="Times New Roman" w:hAnsi="Times New Roman" w:cs="Times New Roman"/>
          <w:sz w:val="24"/>
        </w:rPr>
        <w:t xml:space="preserve">    2.保护修复措施</w:t>
      </w:r>
    </w:p>
    <w:p>
      <w:pPr>
        <w:spacing w:line="360" w:lineRule="auto"/>
        <w:ind w:firstLine="480" w:firstLineChars="200"/>
        <w:textAlignment w:val="baseline"/>
        <w:rPr>
          <w:rFonts w:ascii="Times New Roman" w:hAnsi="Times New Roman" w:cs="Times New Roman"/>
          <w:sz w:val="24"/>
          <w:szCs w:val="32"/>
        </w:rPr>
      </w:pPr>
      <w:r>
        <w:rPr>
          <w:rFonts w:ascii="Times New Roman" w:hAnsi="Times New Roman" w:cs="Times New Roman"/>
          <w:sz w:val="24"/>
          <w:szCs w:val="32"/>
        </w:rPr>
        <w:t>严守耕地保护红线，全面落实永久基本农田特殊保护制度。继续实施高标准农田建设，实施“藏粮于地”战略，持续改善农田基础设施条件。</w:t>
      </w:r>
    </w:p>
    <w:p>
      <w:pPr>
        <w:spacing w:line="360" w:lineRule="auto"/>
        <w:ind w:firstLine="480" w:firstLineChars="200"/>
        <w:textAlignment w:val="baseline"/>
        <w:rPr>
          <w:rFonts w:ascii="Times New Roman" w:hAnsi="Times New Roman" w:cs="Times New Roman"/>
          <w:sz w:val="24"/>
          <w:szCs w:val="32"/>
        </w:rPr>
      </w:pPr>
      <w:r>
        <w:rPr>
          <w:rFonts w:ascii="Times New Roman" w:hAnsi="Times New Roman" w:cs="Times New Roman"/>
          <w:sz w:val="24"/>
          <w:szCs w:val="32"/>
        </w:rPr>
        <w:t>大力发展特色农业。坚持“三链同构”，深入推进农业供给侧结构性改革，围绕“双椒一药”特色农业，大力推动坡头和南村花椒、张村丹参、陈村冬凌草、仁村贡米，英豪金银花、段村牛心柿、仰韶大杏等特色产业发展。实施花椒进岭上山战略，以南村、坡头两个花椒专业乡镇为引领，扩大花椒岭坡山地种植区域，大力发展中药材产业，以坡头乡柴胡特色镇建设及陈村中药材产业强镇为依托，构建“张村—陈村—坡头”中药材优势产业带，打造“丹参、柴胡、黄芩”渑池中药材“三宝”品牌优势，建设渑池柴胡国家地理标志产品示范基地。加强农产品品牌建设，巩固提升渑池丹参区域公用品牌，全力打造省级中药材产业集群、全省最强花椒产业基地县、全国最大丹参商品生产基地县。</w:t>
      </w:r>
    </w:p>
    <w:p>
      <w:pPr>
        <w:widowControl/>
        <w:autoSpaceDE w:val="0"/>
        <w:autoSpaceDN w:val="0"/>
        <w:spacing w:line="360" w:lineRule="auto"/>
        <w:ind w:firstLine="480"/>
        <w:jc w:val="left"/>
        <w:rPr>
          <w:rFonts w:ascii="Times New Roman" w:hAnsi="Times New Roman" w:cs="Times New Roman"/>
          <w:sz w:val="24"/>
        </w:rPr>
      </w:pPr>
      <w:r>
        <w:rPr>
          <w:rFonts w:ascii="Times New Roman" w:hAnsi="Times New Roman" w:cs="Times New Roman"/>
          <w:sz w:val="24"/>
        </w:rPr>
        <w:t>3. 工程部署</w:t>
      </w:r>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以高标准农田为重点，健全耕地保护补偿机制。按照“谁保护、谁受益”原则，加大耕地保护补偿力度。鼓励各地统筹安排财政资金，对承担耕地保护任务的农村集体经济组织和农户给予奖补，提高耕地保护主体的主动性、积极性。</w:t>
      </w:r>
    </w:p>
    <w:tbl>
      <w:tblPr>
        <w:tblStyle w:val="19"/>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497" w:type="dxa"/>
            <w:vAlign w:val="center"/>
          </w:tcPr>
          <w:p>
            <w:pPr>
              <w:widowControl/>
              <w:jc w:val="center"/>
              <w:rPr>
                <w:rFonts w:ascii="Times New Roman" w:hAnsi="Times New Roman" w:cs="Times New Roman"/>
                <w:b/>
                <w:color w:val="000000"/>
                <w:kern w:val="0"/>
                <w:sz w:val="24"/>
                <w:lang w:bidi="ar"/>
              </w:rPr>
            </w:pPr>
            <w:r>
              <w:rPr>
                <w:rFonts w:ascii="Times New Roman" w:hAnsi="Times New Roman" w:cs="Times New Roman"/>
                <w:sz w:val="24"/>
                <w:szCs w:val="32"/>
              </w:rPr>
              <w:t xml:space="preserve">  </w:t>
            </w:r>
            <w:r>
              <w:rPr>
                <w:rFonts w:ascii="Times New Roman" w:hAnsi="Times New Roman" w:cs="Times New Roman"/>
                <w:b/>
                <w:color w:val="000000"/>
                <w:kern w:val="0"/>
                <w:sz w:val="24"/>
                <w:lang w:bidi="ar"/>
              </w:rPr>
              <w:t>专栏</w:t>
            </w:r>
            <w:r>
              <w:rPr>
                <w:rFonts w:hint="eastAsia" w:ascii="Times New Roman" w:hAnsi="Times New Roman" w:cs="Times New Roman"/>
                <w:b/>
                <w:color w:val="000000"/>
                <w:kern w:val="0"/>
                <w:sz w:val="24"/>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7" w:type="dxa"/>
            <w:vAlign w:val="center"/>
          </w:tcPr>
          <w:p>
            <w:pPr>
              <w:spacing w:line="360" w:lineRule="auto"/>
              <w:rPr>
                <w:rFonts w:ascii="Times New Roman" w:hAnsi="Times New Roman" w:cs="Times New Roman"/>
                <w:b/>
                <w:sz w:val="24"/>
              </w:rPr>
            </w:pPr>
            <w:r>
              <w:rPr>
                <w:rFonts w:ascii="Times New Roman" w:hAnsi="Times New Roman" w:cs="Times New Roman"/>
                <w:b/>
                <w:sz w:val="24"/>
              </w:rPr>
              <w:t>1、农业种植业</w:t>
            </w:r>
          </w:p>
          <w:p>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建设内容：实施渑池县高标准农田建设项目，渑池县高标准日光温室大棚扩建项目、</w:t>
            </w:r>
            <w:r>
              <w:rPr>
                <w:rFonts w:hint="eastAsia" w:ascii="Times New Roman" w:hAnsi="Times New Roman" w:cs="Times New Roman"/>
                <w:color w:val="000000"/>
                <w:sz w:val="24"/>
              </w:rPr>
              <w:t>建设</w:t>
            </w:r>
            <w:r>
              <w:rPr>
                <w:rFonts w:ascii="Times New Roman" w:hAnsi="Times New Roman" w:cs="Times New Roman"/>
                <w:color w:val="000000"/>
                <w:sz w:val="24"/>
              </w:rPr>
              <w:t>高标准日光温室大棚等。</w:t>
            </w:r>
          </w:p>
          <w:p>
            <w:pPr>
              <w:spacing w:line="360" w:lineRule="auto"/>
              <w:rPr>
                <w:rFonts w:ascii="Times New Roman" w:hAnsi="Times New Roman" w:cs="Times New Roman"/>
                <w:b/>
                <w:sz w:val="24"/>
              </w:rPr>
            </w:pPr>
            <w:r>
              <w:rPr>
                <w:rFonts w:ascii="Times New Roman" w:hAnsi="Times New Roman" w:cs="Times New Roman"/>
                <w:b/>
                <w:sz w:val="24"/>
              </w:rPr>
              <w:t>2、双椒一药产业</w:t>
            </w:r>
          </w:p>
          <w:p>
            <w:pPr>
              <w:widowControl/>
              <w:autoSpaceDE w:val="0"/>
              <w:autoSpaceDN w:val="0"/>
              <w:spacing w:line="360" w:lineRule="auto"/>
              <w:ind w:firstLine="420"/>
              <w:jc w:val="left"/>
              <w:rPr>
                <w:rFonts w:ascii="Times New Roman" w:hAnsi="Times New Roman" w:cs="Times New Roman"/>
                <w:color w:val="000000"/>
                <w:sz w:val="24"/>
              </w:rPr>
            </w:pPr>
            <w:r>
              <w:rPr>
                <w:rFonts w:ascii="Times New Roman" w:hAnsi="Times New Roman" w:cs="Times New Roman"/>
                <w:color w:val="000000"/>
                <w:sz w:val="24"/>
              </w:rPr>
              <w:t>建设内容：实施渑池县花椒产业发展项目，渑池县双椒一药标准化产业基地建设项目、渑池县花椒深加工及系列产品开发及销售市场建设项目等。</w:t>
            </w:r>
          </w:p>
          <w:p>
            <w:pPr>
              <w:spacing w:line="360" w:lineRule="auto"/>
              <w:rPr>
                <w:rFonts w:ascii="Times New Roman" w:hAnsi="Times New Roman" w:cs="Times New Roman"/>
                <w:b/>
                <w:sz w:val="24"/>
              </w:rPr>
            </w:pPr>
            <w:r>
              <w:rPr>
                <w:rFonts w:ascii="Times New Roman" w:hAnsi="Times New Roman" w:cs="Times New Roman"/>
                <w:b/>
                <w:sz w:val="24"/>
              </w:rPr>
              <w:t>3、土地整治项目</w:t>
            </w:r>
          </w:p>
          <w:p>
            <w:pPr>
              <w:widowControl/>
              <w:autoSpaceDE w:val="0"/>
              <w:autoSpaceDN w:val="0"/>
              <w:spacing w:line="360" w:lineRule="auto"/>
              <w:ind w:firstLine="420"/>
              <w:jc w:val="left"/>
              <w:rPr>
                <w:rFonts w:ascii="Times New Roman" w:hAnsi="Times New Roman" w:cs="Times New Roman"/>
                <w:color w:val="FF0000"/>
                <w:sz w:val="24"/>
                <w:u w:color="000000"/>
              </w:rPr>
            </w:pPr>
            <w:r>
              <w:rPr>
                <w:rFonts w:ascii="Times New Roman" w:hAnsi="Times New Roman" w:cs="Times New Roman"/>
                <w:color w:val="000000"/>
                <w:sz w:val="24"/>
              </w:rPr>
              <w:t>建设内容：仁村乡河道治理土地整治项目，段村乡、仁村乡等河道治理土地整治项目。</w:t>
            </w:r>
          </w:p>
        </w:tc>
      </w:tr>
    </w:tbl>
    <w:p>
      <w:pPr>
        <w:pStyle w:val="3"/>
        <w:widowControl/>
        <w:spacing w:before="120" w:after="120" w:line="360" w:lineRule="auto"/>
        <w:jc w:val="center"/>
        <w:rPr>
          <w:rFonts w:ascii="Times New Roman" w:hAnsi="Times New Roman" w:eastAsia="仿宋_GB2312" w:cs="Times New Roman"/>
          <w:kern w:val="0"/>
          <w:sz w:val="28"/>
          <w:szCs w:val="28"/>
        </w:rPr>
      </w:pPr>
      <w:bookmarkStart w:id="44" w:name="_Toc154474116"/>
      <w:r>
        <w:rPr>
          <w:rFonts w:ascii="Times New Roman" w:hAnsi="Times New Roman" w:eastAsia="仿宋_GB2312" w:cs="Times New Roman"/>
          <w:kern w:val="0"/>
          <w:sz w:val="28"/>
          <w:szCs w:val="28"/>
        </w:rPr>
        <w:t>第四节 矿山地质环境恢复与</w:t>
      </w:r>
      <w:bookmarkEnd w:id="36"/>
      <w:bookmarkEnd w:id="37"/>
      <w:r>
        <w:rPr>
          <w:rFonts w:ascii="Times New Roman" w:hAnsi="Times New Roman" w:eastAsia="仿宋_GB2312" w:cs="Times New Roman"/>
          <w:kern w:val="0"/>
          <w:sz w:val="28"/>
          <w:szCs w:val="28"/>
        </w:rPr>
        <w:t>治理</w:t>
      </w:r>
      <w:bookmarkEnd w:id="44"/>
    </w:p>
    <w:p>
      <w:pPr>
        <w:spacing w:line="360" w:lineRule="auto"/>
        <w:ind w:firstLine="480" w:firstLineChars="200"/>
        <w:rPr>
          <w:rFonts w:ascii="Times New Roman" w:hAnsi="Times New Roman" w:cs="Times New Roman"/>
          <w:sz w:val="24"/>
        </w:rPr>
      </w:pPr>
      <w:r>
        <w:rPr>
          <w:rFonts w:ascii="Times New Roman" w:hAnsi="Times New Roman" w:cs="Times New Roman"/>
          <w:sz w:val="24"/>
        </w:rPr>
        <w:t>渑池县矿产资源丰富，矿产资源开采历史悠久，由此造成的地形地貌景观破坏、含水层破坏、占压土地资源等现象突出，生态修复任务重。随着矿山地环境保护与恢复治理工作不断加强，全县矿山地质环境恶化的趋势得到明显遏制，整体向良好方向发展，但局部地区矿山地质环境依然不容乐观，矿山地质环境保护与恢复治理工作还需要进一步加强。</w:t>
      </w:r>
    </w:p>
    <w:p>
      <w:pPr>
        <w:spacing w:line="360" w:lineRule="auto"/>
        <w:rPr>
          <w:rFonts w:ascii="Times New Roman" w:hAnsi="Times New Roman" w:cs="Times New Roman"/>
          <w:sz w:val="24"/>
        </w:rPr>
      </w:pPr>
      <w:r>
        <w:rPr>
          <w:rFonts w:ascii="Times New Roman" w:hAnsi="Times New Roman" w:cs="Times New Roman"/>
          <w:sz w:val="24"/>
        </w:rPr>
        <w:t xml:space="preserve">    1.工程分布范围</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渑池县矿山生态环境问题突出的区域，加快推进314省道和黄河沿线范围山体内的持证矿山和矿权灭失（含政策性关闭矿山）矿山生态环境修复治理工作，着力改善矿区生态环境及周边群众居住环境，解决环境突出问题。</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2.修复治理措施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通过落实矿山地质环境治理保证金制度，严格矿产资源开发环境准入条件，加强矿产资源开发全过程生态环境保护监理。建立矿山生态环境动态监测体系，严格执行环境影响评价和地质灾害危险性评估制度，控制和消除重大地质灾害、环境安全隐患。推进绿色矿山建设，实现矿山固体废弃物综合利用，生产废水循环利用，矿山粉尘有效防治，矿山环境显著改善。</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新建矿山资源开发利用要全部符合国家的法律法规和产业政策、矿产资源规划、地质环境保护规划。不在生态功能区、自然保护区、风景名胜区、森林公园、地质公园及其附近新设采矿权，新设采矿权不对主要交通干线和旅游公路两侧直观可视范围内的地貌景观造</w:t>
      </w:r>
      <w:r>
        <w:rPr>
          <w:rFonts w:hint="eastAsia" w:ascii="Times New Roman" w:hAnsi="Times New Roman" w:cs="Times New Roman"/>
          <w:sz w:val="24"/>
        </w:rPr>
        <w:t>成</w:t>
      </w:r>
      <w:r>
        <w:rPr>
          <w:rFonts w:ascii="Times New Roman" w:hAnsi="Times New Roman" w:cs="Times New Roman"/>
          <w:sz w:val="24"/>
        </w:rPr>
        <w:t>影响和破坏。</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落实矿山环境治理恢复基金制度。严格监督矿山企业，按照矿山地质环境保护与土地复垦方案，切实做好生产矿山边开采边治理工作，强化矿产资源开采过程对地质环境的预防保护作用。</w:t>
      </w:r>
    </w:p>
    <w:p>
      <w:pPr>
        <w:spacing w:line="360" w:lineRule="auto"/>
        <w:ind w:firstLine="480" w:firstLineChars="200"/>
        <w:jc w:val="left"/>
        <w:rPr>
          <w:rFonts w:ascii="Times New Roman" w:hAnsi="Times New Roman" w:cs="Times New Roman"/>
          <w:sz w:val="24"/>
          <w:szCs w:val="24"/>
        </w:rPr>
      </w:pPr>
      <w:r>
        <w:rPr>
          <w:rFonts w:ascii="Times New Roman" w:hAnsi="Times New Roman" w:cs="Times New Roman"/>
          <w:sz w:val="24"/>
        </w:rPr>
        <w:t>要求矿山以人工测绘、遥感测量等技术为依托，加强矿山地质环境遥感动态监测工作，由自然资源局负责监督。按照矿山的“矿山地质环境保护与治理恢复方案”提出的监测措施，开展自主动态监测工作，矿山企业建立矿区监测网，落实矿山企业履行矿山地质环境动态监测责任；对重点矿山加强监测，实现对渑池县地质环境的控制性监测。</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3.工程部署</w:t>
      </w:r>
    </w:p>
    <w:p>
      <w:pPr>
        <w:spacing w:line="360" w:lineRule="auto"/>
        <w:ind w:firstLine="480"/>
        <w:rPr>
          <w:rFonts w:ascii="Times New Roman" w:hAnsi="Times New Roman" w:cs="Times New Roman"/>
          <w:color w:val="000000"/>
          <w:kern w:val="0"/>
          <w:sz w:val="24"/>
          <w:lang w:bidi="ar"/>
        </w:rPr>
      </w:pPr>
      <w:r>
        <w:rPr>
          <w:rFonts w:ascii="Times New Roman" w:hAnsi="Times New Roman" w:cs="Times New Roman"/>
          <w:sz w:val="24"/>
        </w:rPr>
        <w:t>统筹推进历史遗留矿山修复与绿色矿山建设，恢复和提升矿区生态功能，实现对矿山修复最优化治理。按照“轻、重、缓、急”的原则，重点做好铝土矿、水泥用石灰、砂岩等主要矿区以及314省道和黄河沿线持证矿山的矿山地质环境恢复与综合治理工作，树立典型示范工程，以带动和促进矿山环境恢复治理工作的全面开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180" w:type="dxa"/>
            <w:vAlign w:val="center"/>
          </w:tcPr>
          <w:p>
            <w:pPr>
              <w:widowControl/>
              <w:jc w:val="center"/>
              <w:rPr>
                <w:rFonts w:ascii="Times New Roman" w:hAnsi="Times New Roman" w:cs="Times New Roman"/>
                <w:b/>
                <w:kern w:val="0"/>
                <w:sz w:val="24"/>
                <w:lang w:bidi="ar"/>
              </w:rPr>
            </w:pPr>
            <w:r>
              <w:rPr>
                <w:rFonts w:ascii="Times New Roman" w:hAnsi="Times New Roman" w:cs="Times New Roman"/>
                <w:b/>
                <w:kern w:val="0"/>
                <w:sz w:val="24"/>
                <w:lang w:bidi="ar"/>
              </w:rPr>
              <w:t>专栏</w:t>
            </w:r>
            <w:r>
              <w:rPr>
                <w:rFonts w:hint="eastAsia" w:ascii="Times New Roman" w:hAnsi="Times New Roman" w:cs="Times New Roman"/>
                <w:b/>
                <w:kern w:val="0"/>
                <w:sz w:val="24"/>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vAlign w:val="center"/>
          </w:tcPr>
          <w:p>
            <w:pPr>
              <w:widowControl/>
              <w:spacing w:line="360" w:lineRule="auto"/>
              <w:jc w:val="left"/>
              <w:rPr>
                <w:rFonts w:ascii="Times New Roman" w:hAnsi="Times New Roman" w:cs="Times New Roman"/>
                <w:b/>
                <w:sz w:val="24"/>
              </w:rPr>
            </w:pPr>
            <w:r>
              <w:rPr>
                <w:rFonts w:ascii="Times New Roman" w:hAnsi="Times New Roman" w:cs="Times New Roman"/>
                <w:b/>
                <w:sz w:val="24"/>
              </w:rPr>
              <w:t>1.</w:t>
            </w:r>
            <w:r>
              <w:rPr>
                <w:rFonts w:ascii="Times New Roman" w:hAnsi="Times New Roman" w:cs="Times New Roman"/>
              </w:rPr>
              <w:t xml:space="preserve"> </w:t>
            </w:r>
            <w:r>
              <w:rPr>
                <w:rFonts w:ascii="Times New Roman" w:hAnsi="Times New Roman" w:cs="Times New Roman"/>
                <w:b/>
                <w:sz w:val="24"/>
              </w:rPr>
              <w:t>“三区两线”历史遗留矿山地质环境治理工程项目</w:t>
            </w:r>
          </w:p>
          <w:p>
            <w:pPr>
              <w:widowControl/>
              <w:spacing w:line="360" w:lineRule="auto"/>
              <w:ind w:firstLine="480" w:firstLineChars="200"/>
              <w:jc w:val="left"/>
              <w:rPr>
                <w:rFonts w:ascii="Times New Roman" w:hAnsi="Times New Roman" w:cs="Times New Roman"/>
                <w:bCs/>
                <w:kern w:val="0"/>
                <w:sz w:val="24"/>
              </w:rPr>
            </w:pPr>
            <w:r>
              <w:rPr>
                <w:rFonts w:ascii="Times New Roman" w:hAnsi="Times New Roman" w:cs="Times New Roman"/>
                <w:sz w:val="24"/>
                <w:szCs w:val="32"/>
              </w:rPr>
              <w:t>建设内容：</w:t>
            </w:r>
            <w:r>
              <w:rPr>
                <w:rFonts w:hint="eastAsia" w:ascii="Times New Roman" w:hAnsi="Times New Roman" w:cs="Times New Roman"/>
                <w:bCs/>
                <w:kern w:val="0"/>
                <w:sz w:val="24"/>
              </w:rPr>
              <w:t>治理工程项目主要开展矿渣清运、危岩体清除、回填、植树等工程措施</w:t>
            </w:r>
            <w:r>
              <w:rPr>
                <w:rFonts w:ascii="Times New Roman" w:hAnsi="Times New Roman" w:cs="Times New Roman"/>
                <w:bCs/>
                <w:kern w:val="0"/>
                <w:sz w:val="24"/>
              </w:rPr>
              <w:t>。</w:t>
            </w:r>
          </w:p>
          <w:p>
            <w:pPr>
              <w:widowControl/>
              <w:autoSpaceDE w:val="0"/>
              <w:autoSpaceDN w:val="0"/>
              <w:spacing w:line="360" w:lineRule="auto"/>
              <w:jc w:val="left"/>
              <w:rPr>
                <w:rFonts w:ascii="Times New Roman" w:hAnsi="Times New Roman" w:cs="Times New Roman"/>
                <w:b/>
                <w:sz w:val="24"/>
              </w:rPr>
            </w:pPr>
            <w:r>
              <w:rPr>
                <w:rFonts w:ascii="Times New Roman" w:hAnsi="Times New Roman" w:cs="Times New Roman"/>
                <w:b/>
                <w:sz w:val="24"/>
              </w:rPr>
              <w:t>2.其他区域历史遗留矿山地质环境恢复治理工程项目</w:t>
            </w:r>
          </w:p>
          <w:p>
            <w:pPr>
              <w:widowControl/>
              <w:spacing w:line="360" w:lineRule="auto"/>
              <w:ind w:firstLine="480" w:firstLineChars="200"/>
              <w:jc w:val="left"/>
              <w:rPr>
                <w:rFonts w:ascii="Times New Roman" w:hAnsi="Times New Roman" w:cs="Times New Roman"/>
                <w:bCs/>
                <w:kern w:val="0"/>
                <w:sz w:val="24"/>
              </w:rPr>
            </w:pPr>
            <w:r>
              <w:rPr>
                <w:rFonts w:ascii="Times New Roman" w:hAnsi="Times New Roman" w:cs="Times New Roman"/>
                <w:sz w:val="24"/>
                <w:szCs w:val="32"/>
              </w:rPr>
              <w:t>建设内容：</w:t>
            </w:r>
            <w:r>
              <w:rPr>
                <w:rFonts w:hint="eastAsia" w:ascii="Times New Roman" w:hAnsi="Times New Roman" w:cs="Times New Roman"/>
                <w:bCs/>
                <w:kern w:val="0"/>
                <w:sz w:val="24"/>
              </w:rPr>
              <w:t>治理工程项目主要开展土地整理、覆土复垦、削坡清除危岩体、修建挡墙排水沟、废渣回填、拆除建筑物、充填矿井、平整、植树种草绿化等工程措施</w:t>
            </w:r>
            <w:r>
              <w:rPr>
                <w:rFonts w:ascii="Times New Roman" w:hAnsi="Times New Roman" w:cs="Times New Roman"/>
                <w:bCs/>
                <w:kern w:val="0"/>
                <w:sz w:val="24"/>
              </w:rPr>
              <w:t>。</w:t>
            </w:r>
          </w:p>
          <w:p>
            <w:pPr>
              <w:widowControl/>
              <w:autoSpaceDE w:val="0"/>
              <w:autoSpaceDN w:val="0"/>
              <w:spacing w:line="360" w:lineRule="auto"/>
              <w:jc w:val="left"/>
              <w:rPr>
                <w:rFonts w:ascii="Times New Roman" w:hAnsi="Times New Roman" w:cs="Times New Roman"/>
                <w:b/>
                <w:sz w:val="24"/>
              </w:rPr>
            </w:pPr>
            <w:r>
              <w:rPr>
                <w:rFonts w:ascii="Times New Roman" w:hAnsi="Times New Roman" w:cs="Times New Roman"/>
                <w:b/>
                <w:sz w:val="24"/>
              </w:rPr>
              <w:t>3.</w:t>
            </w:r>
            <w:r>
              <w:rPr>
                <w:rFonts w:hint="eastAsia" w:ascii="Times New Roman" w:hAnsi="Times New Roman" w:cs="Times New Roman"/>
                <w:b/>
                <w:sz w:val="24"/>
              </w:rPr>
              <w:t>政策性关闭矿山地质环境治理工程项目</w:t>
            </w:r>
          </w:p>
          <w:p>
            <w:pPr>
              <w:widowControl/>
              <w:spacing w:line="360" w:lineRule="auto"/>
              <w:ind w:firstLine="480" w:firstLineChars="200"/>
              <w:jc w:val="left"/>
              <w:rPr>
                <w:rFonts w:ascii="Times New Roman" w:hAnsi="Times New Roman" w:cs="Times New Roman"/>
                <w:bCs/>
                <w:kern w:val="0"/>
                <w:sz w:val="24"/>
              </w:rPr>
            </w:pPr>
            <w:r>
              <w:rPr>
                <w:rFonts w:ascii="Times New Roman" w:hAnsi="Times New Roman" w:cs="Times New Roman"/>
                <w:sz w:val="24"/>
                <w:szCs w:val="32"/>
              </w:rPr>
              <w:t>建设内容：</w:t>
            </w:r>
            <w:r>
              <w:rPr>
                <w:rFonts w:hint="eastAsia" w:ascii="Times New Roman" w:hAnsi="Times New Roman" w:cs="Times New Roman"/>
                <w:bCs/>
                <w:kern w:val="0"/>
                <w:sz w:val="24"/>
              </w:rPr>
              <w:t>工程项目主要采用废渣清运、浆砌石挡土墙、排水渠、废石回填、覆土、植树等工程措施。</w:t>
            </w:r>
          </w:p>
          <w:p>
            <w:pPr>
              <w:spacing w:line="360" w:lineRule="auto"/>
              <w:rPr>
                <w:rFonts w:ascii="Times New Roman" w:hAnsi="Times New Roman" w:cs="Times New Roman"/>
                <w:b/>
                <w:sz w:val="24"/>
              </w:rPr>
            </w:pPr>
            <w:r>
              <w:rPr>
                <w:rFonts w:ascii="Times New Roman" w:hAnsi="Times New Roman" w:cs="Times New Roman"/>
                <w:b/>
                <w:sz w:val="24"/>
              </w:rPr>
              <w:t>4.生产矿山地质环境治理工程项目</w:t>
            </w:r>
          </w:p>
          <w:p>
            <w:pPr>
              <w:spacing w:line="360" w:lineRule="auto"/>
              <w:ind w:firstLine="480" w:firstLineChars="200"/>
              <w:rPr>
                <w:rFonts w:ascii="Times New Roman" w:hAnsi="Times New Roman" w:cs="Times New Roman"/>
                <w:color w:val="000000"/>
                <w:u w:color="000000"/>
              </w:rPr>
            </w:pPr>
            <w:r>
              <w:rPr>
                <w:rFonts w:ascii="Times New Roman" w:hAnsi="Times New Roman" w:cs="Times New Roman"/>
                <w:sz w:val="24"/>
                <w:szCs w:val="32"/>
              </w:rPr>
              <w:t>建设内容：</w:t>
            </w:r>
            <w:r>
              <w:rPr>
                <w:rFonts w:hint="eastAsia" w:ascii="Times New Roman" w:hAnsi="Times New Roman" w:cs="Times New Roman"/>
                <w:bCs/>
                <w:kern w:val="0"/>
                <w:sz w:val="24"/>
              </w:rPr>
              <w:t>生产矿山地质环境治理工程项目主要采用废渣清运、浆砌石挡土墙、排水渠、废石回填、覆土、植树等工程措施。生产矿山地质环境问题实行“边生产、边治理”</w:t>
            </w:r>
            <w:r>
              <w:rPr>
                <w:rFonts w:ascii="Times New Roman" w:hAnsi="Times New Roman" w:cs="Times New Roman"/>
                <w:bCs/>
                <w:kern w:val="0"/>
                <w:sz w:val="24"/>
              </w:rPr>
              <w:t>。</w:t>
            </w:r>
          </w:p>
        </w:tc>
      </w:tr>
    </w:tbl>
    <w:p>
      <w:pPr>
        <w:pStyle w:val="38"/>
        <w:ind w:firstLine="480"/>
        <w:rPr>
          <w:rFonts w:ascii="Times New Roman" w:hAnsi="Times New Roman" w:eastAsia="仿宋_GB2312" w:cs="Times New Roman"/>
          <w:lang w:val="en-US" w:bidi="ar"/>
        </w:rPr>
      </w:pPr>
    </w:p>
    <w:p>
      <w:pPr>
        <w:pStyle w:val="3"/>
        <w:widowControl/>
        <w:spacing w:before="120" w:after="120" w:line="360" w:lineRule="auto"/>
        <w:jc w:val="center"/>
        <w:rPr>
          <w:rFonts w:ascii="Times New Roman" w:hAnsi="Times New Roman" w:eastAsia="仿宋_GB2312" w:cs="Times New Roman"/>
          <w:kern w:val="0"/>
          <w:sz w:val="28"/>
          <w:szCs w:val="28"/>
        </w:rPr>
      </w:pPr>
      <w:bookmarkStart w:id="45" w:name="_Toc131750842"/>
      <w:bookmarkStart w:id="46" w:name="_Toc154474117"/>
      <w:r>
        <w:rPr>
          <w:rFonts w:ascii="Times New Roman" w:hAnsi="Times New Roman" w:eastAsia="仿宋_GB2312" w:cs="Times New Roman"/>
          <w:kern w:val="0"/>
          <w:sz w:val="28"/>
          <w:szCs w:val="28"/>
        </w:rPr>
        <w:t>第五节 繁荣发展生态文化</w:t>
      </w:r>
      <w:bookmarkEnd w:id="45"/>
      <w:r>
        <w:rPr>
          <w:rFonts w:ascii="Times New Roman" w:hAnsi="Times New Roman" w:eastAsia="仿宋_GB2312" w:cs="Times New Roman"/>
          <w:kern w:val="0"/>
          <w:sz w:val="28"/>
          <w:szCs w:val="28"/>
        </w:rPr>
        <w:t>旅游</w:t>
      </w:r>
      <w:bookmarkEnd w:id="46"/>
    </w:p>
    <w:p>
      <w:pPr>
        <w:spacing w:line="360" w:lineRule="auto"/>
        <w:ind w:firstLine="480" w:firstLineChars="200"/>
        <w:rPr>
          <w:rFonts w:ascii="Times New Roman" w:hAnsi="Times New Roman" w:cs="Times New Roman"/>
          <w:sz w:val="24"/>
        </w:rPr>
      </w:pPr>
      <w:r>
        <w:rPr>
          <w:rFonts w:ascii="Times New Roman" w:hAnsi="Times New Roman" w:cs="Times New Roman"/>
          <w:sz w:val="24"/>
        </w:rPr>
        <w:t>近年来，随着“山长制”等生态文明建设制度的推行，</w:t>
      </w:r>
      <w:r>
        <w:rPr>
          <w:rFonts w:hint="eastAsia" w:ascii="Times New Roman" w:hAnsi="Times New Roman" w:cs="Times New Roman"/>
          <w:sz w:val="24"/>
        </w:rPr>
        <w:t>有助于</w:t>
      </w:r>
      <w:r>
        <w:rPr>
          <w:rFonts w:ascii="Times New Roman" w:hAnsi="Times New Roman" w:cs="Times New Roman"/>
          <w:sz w:val="24"/>
        </w:rPr>
        <w:t>渑池县内的绿地面积增加，生态环境持续优化，居民生活体验感改善、幸福感增强。繁荣发展渑池县生态文化旅游，以黄河文化保护传承弘扬为主线，深入挖掘渑池特色历史文化资源，推动优秀传统文化创造性转化、创新性发展，打造渑池特色文化品牌，提升文化产业竞争力、仰韶文化影响力，广泛凝聚争先进位谋出彩的强大正能量。</w:t>
      </w:r>
    </w:p>
    <w:p>
      <w:pPr>
        <w:spacing w:line="360" w:lineRule="auto"/>
        <w:rPr>
          <w:rFonts w:ascii="Times New Roman" w:hAnsi="Times New Roman" w:cs="Times New Roman"/>
          <w:sz w:val="24"/>
        </w:rPr>
      </w:pPr>
      <w:r>
        <w:rPr>
          <w:rFonts w:ascii="Times New Roman" w:hAnsi="Times New Roman" w:cs="Times New Roman"/>
          <w:sz w:val="24"/>
        </w:rPr>
        <w:t xml:space="preserve">    1.建设范围</w:t>
      </w:r>
    </w:p>
    <w:p>
      <w:pPr>
        <w:spacing w:line="360" w:lineRule="auto"/>
        <w:rPr>
          <w:rFonts w:ascii="Times New Roman" w:hAnsi="Times New Roman" w:cs="Times New Roman"/>
          <w:sz w:val="24"/>
        </w:rPr>
      </w:pPr>
      <w:r>
        <w:rPr>
          <w:rFonts w:ascii="Times New Roman" w:hAnsi="Times New Roman" w:cs="Times New Roman"/>
          <w:sz w:val="24"/>
        </w:rPr>
        <w:t xml:space="preserve">    渑池县山体范围内的文物以及景区，涉及曙猿遗址、利津古渡、桓王山国家生态公园、</w:t>
      </w:r>
      <w:r>
        <w:rPr>
          <w:rFonts w:ascii="Times New Roman" w:hAnsi="Times New Roman" w:cs="Times New Roman"/>
          <w:bCs/>
          <w:sz w:val="24"/>
        </w:rPr>
        <w:t>渑池县韶山森林公园、渑池县黄河丹峡景区等</w:t>
      </w:r>
      <w:r>
        <w:rPr>
          <w:rFonts w:ascii="Times New Roman" w:hAnsi="Times New Roman" w:cs="Times New Roman"/>
          <w:sz w:val="24"/>
        </w:rPr>
        <w:t>。</w:t>
      </w:r>
    </w:p>
    <w:p>
      <w:pPr>
        <w:spacing w:line="360" w:lineRule="auto"/>
        <w:rPr>
          <w:rFonts w:ascii="Times New Roman" w:hAnsi="Times New Roman" w:cs="Times New Roman"/>
          <w:sz w:val="24"/>
        </w:rPr>
      </w:pPr>
      <w:r>
        <w:rPr>
          <w:rFonts w:ascii="Times New Roman" w:hAnsi="Times New Roman" w:cs="Times New Roman"/>
          <w:sz w:val="24"/>
        </w:rPr>
        <w:t xml:space="preserve">    2.建设内容及要求</w:t>
      </w:r>
    </w:p>
    <w:p>
      <w:pPr>
        <w:spacing w:line="360" w:lineRule="auto"/>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color w:val="FF0000"/>
          <w:sz w:val="24"/>
        </w:rPr>
        <w:t xml:space="preserve"> </w:t>
      </w:r>
      <w:r>
        <w:rPr>
          <w:rFonts w:ascii="Times New Roman" w:hAnsi="Times New Roman" w:cs="Times New Roman"/>
          <w:sz w:val="24"/>
        </w:rPr>
        <w:t xml:space="preserve"> 以仰韶文化“双百周年”为契机，以全域旅游发展为抓手，围绕“仰韶圣地</w:t>
      </w:r>
      <w:r>
        <w:rPr>
          <w:rFonts w:ascii="Times New Roman" w:hAnsi="Times New Roman" w:eastAsia="微软雅黑" w:cs="Times New Roman"/>
          <w:sz w:val="24"/>
        </w:rPr>
        <w:t>•</w:t>
      </w:r>
      <w:r>
        <w:rPr>
          <w:rFonts w:ascii="Times New Roman" w:hAnsi="Times New Roman" w:cs="Times New Roman"/>
          <w:sz w:val="24"/>
        </w:rPr>
        <w:t>醉美渑池”品牌打造，传承弘扬仰韶文化，强化文旅融合，壮大做强历史文化游、自然水山游、红色经典游、现代工业游、乡村风情游“五位一体”的全域旅游发展格局，高质量打造国际 仰韶文化旅游体验地、丝绸之路文化带上的重要旅游服务节点和驿站、国家研学旅游目的地、黄河金三角文化旅游与森林康养功能区。</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优化文化旅游发展格局。以创建省级全域旅游示范区创建为抓手，以仰韶—段村—南村—坡头为轴线，推动景区提质建设，积极融入黄河文化旅游带建设，着力打造“农林商旅、遗产文旅、城乡康旅”三大产品线。使文旅产业成为渑池县经济高质量发展的强劲引擎，把渑池建设成为黄河流域具有较高知名度的文化旅游强县。加快推进仰韶村国家考古遗址公园、仰韶文化博物馆陈展提升、仰韶文化遗址本体保护、仰韶村遗址第四次考古发掘、仰韶文化研学基地、仰韶酒文化体验基地等“仰韶”主题系列项目，为仰韶文化传承发扬增彩添色。实施重点景区提升。积极推动仰韶村国家考古遗址公园、仰韶仙门山创建国家5A级景区，赵沟古村、柳庄观光园创建国家3A级景区。叫响黄河文旅。加快黄河画廊旅游度假区、韶山红叶康养基地等景点建设，串联“仰韶—段村—南村—坡头”，打造“黄河文化旅游长廊”，积极融入黄河文化旅游带建设。</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3.工程部署</w:t>
      </w:r>
    </w:p>
    <w:p>
      <w:pPr>
        <w:spacing w:line="360" w:lineRule="auto"/>
        <w:ind w:firstLine="480"/>
        <w:rPr>
          <w:rFonts w:ascii="Times New Roman" w:hAnsi="Times New Roman" w:cs="Times New Roman"/>
          <w:sz w:val="24"/>
        </w:rPr>
      </w:pPr>
      <w:r>
        <w:rPr>
          <w:rFonts w:ascii="Times New Roman" w:hAnsi="Times New Roman" w:cs="Times New Roman"/>
          <w:sz w:val="24"/>
        </w:rPr>
        <w:t>大力实施“旅游+”工程，使渑池处处可看、处处可游、处处可玩，形成多点开花的良好发展局面。紧紧抓住仰韶文化“双百周年”发展机遇，全力参与黄河文化旅游带建设，不断提升渑池的知名度和影响力。</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9180" w:type="dxa"/>
            <w:vAlign w:val="center"/>
          </w:tcPr>
          <w:p>
            <w:pPr>
              <w:widowControl/>
              <w:jc w:val="center"/>
              <w:rPr>
                <w:rFonts w:ascii="Times New Roman" w:hAnsi="Times New Roman" w:cs="Times New Roman"/>
                <w:b/>
                <w:kern w:val="0"/>
                <w:sz w:val="24"/>
                <w:lang w:bidi="ar"/>
              </w:rPr>
            </w:pPr>
            <w:r>
              <w:rPr>
                <w:rFonts w:ascii="Times New Roman" w:hAnsi="Times New Roman" w:cs="Times New Roman"/>
                <w:b/>
                <w:kern w:val="0"/>
                <w:sz w:val="24"/>
                <w:lang w:bidi="ar"/>
              </w:rPr>
              <w:t>专栏</w:t>
            </w:r>
            <w:r>
              <w:rPr>
                <w:rFonts w:hint="eastAsia" w:ascii="Times New Roman" w:hAnsi="Times New Roman" w:cs="Times New Roman"/>
                <w:b/>
                <w:kern w:val="0"/>
                <w:sz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vAlign w:val="center"/>
          </w:tcPr>
          <w:p>
            <w:pPr>
              <w:widowControl/>
              <w:spacing w:line="360" w:lineRule="auto"/>
              <w:jc w:val="left"/>
              <w:rPr>
                <w:rFonts w:ascii="Times New Roman" w:hAnsi="Times New Roman" w:cs="Times New Roman"/>
                <w:b/>
                <w:sz w:val="24"/>
              </w:rPr>
            </w:pPr>
            <w:r>
              <w:rPr>
                <w:rFonts w:ascii="Times New Roman" w:hAnsi="Times New Roman" w:cs="Times New Roman"/>
                <w:b/>
                <w:sz w:val="24"/>
              </w:rPr>
              <w:t>1.</w:t>
            </w:r>
            <w:r>
              <w:rPr>
                <w:rFonts w:ascii="Times New Roman" w:hAnsi="Times New Roman" w:cs="Times New Roman"/>
              </w:rPr>
              <w:t xml:space="preserve"> </w:t>
            </w:r>
            <w:r>
              <w:rPr>
                <w:rFonts w:hint="eastAsia" w:ascii="Times New Roman" w:hAnsi="Times New Roman" w:cs="Times New Roman"/>
                <w:b/>
                <w:sz w:val="24"/>
              </w:rPr>
              <w:t>文物保护</w:t>
            </w:r>
          </w:p>
          <w:p>
            <w:pPr>
              <w:widowControl/>
              <w:spacing w:line="360" w:lineRule="auto"/>
              <w:ind w:firstLine="480" w:firstLineChars="200"/>
              <w:jc w:val="left"/>
              <w:rPr>
                <w:rFonts w:ascii="Times New Roman" w:hAnsi="Times New Roman" w:cs="Times New Roman"/>
                <w:bCs/>
                <w:kern w:val="0"/>
                <w:sz w:val="24"/>
              </w:rPr>
            </w:pPr>
            <w:r>
              <w:rPr>
                <w:rFonts w:hint="eastAsia" w:ascii="Times New Roman" w:hAnsi="Times New Roman" w:cs="Times New Roman"/>
                <w:sz w:val="24"/>
                <w:szCs w:val="32"/>
              </w:rPr>
              <w:t>建设内容：曙猿遗址保护、利津古渡、仰韶村遗址本体保护性展示、民间博物馆群</w:t>
            </w:r>
            <w:r>
              <w:rPr>
                <w:rFonts w:ascii="Times New Roman" w:hAnsi="Times New Roman" w:cs="Times New Roman"/>
                <w:bCs/>
                <w:kern w:val="0"/>
                <w:sz w:val="24"/>
              </w:rPr>
              <w:t>。</w:t>
            </w:r>
          </w:p>
          <w:p>
            <w:pPr>
              <w:widowControl/>
              <w:autoSpaceDE w:val="0"/>
              <w:autoSpaceDN w:val="0"/>
              <w:spacing w:line="360" w:lineRule="auto"/>
              <w:jc w:val="left"/>
              <w:rPr>
                <w:rFonts w:ascii="Times New Roman" w:hAnsi="Times New Roman" w:cs="Times New Roman"/>
                <w:b/>
                <w:sz w:val="24"/>
              </w:rPr>
            </w:pPr>
            <w:r>
              <w:rPr>
                <w:rFonts w:ascii="Times New Roman" w:hAnsi="Times New Roman" w:cs="Times New Roman"/>
                <w:b/>
                <w:sz w:val="24"/>
              </w:rPr>
              <w:t>2.</w:t>
            </w:r>
            <w:r>
              <w:rPr>
                <w:rFonts w:hint="eastAsia"/>
              </w:rPr>
              <w:t xml:space="preserve"> </w:t>
            </w:r>
            <w:r>
              <w:rPr>
                <w:rFonts w:hint="eastAsia" w:ascii="Times New Roman" w:hAnsi="Times New Roman" w:cs="Times New Roman"/>
                <w:b/>
                <w:sz w:val="24"/>
              </w:rPr>
              <w:t>文化产业</w:t>
            </w:r>
            <w:r>
              <w:rPr>
                <w:rFonts w:ascii="Times New Roman" w:hAnsi="Times New Roman" w:cs="Times New Roman"/>
                <w:b/>
                <w:sz w:val="24"/>
              </w:rPr>
              <w:t>工程项目</w:t>
            </w:r>
          </w:p>
          <w:p>
            <w:pPr>
              <w:widowControl/>
              <w:spacing w:line="360" w:lineRule="auto"/>
              <w:ind w:firstLine="480" w:firstLineChars="200"/>
              <w:jc w:val="left"/>
              <w:rPr>
                <w:rFonts w:ascii="Times New Roman" w:hAnsi="Times New Roman" w:cs="Times New Roman"/>
                <w:bCs/>
                <w:kern w:val="0"/>
                <w:sz w:val="24"/>
              </w:rPr>
            </w:pPr>
            <w:r>
              <w:rPr>
                <w:rFonts w:hint="eastAsia" w:ascii="Times New Roman" w:hAnsi="Times New Roman" w:cs="Times New Roman"/>
                <w:sz w:val="24"/>
                <w:szCs w:val="32"/>
              </w:rPr>
              <w:t>建设内容：</w:t>
            </w:r>
            <w:r>
              <w:rPr>
                <w:rFonts w:ascii="Times New Roman" w:hAnsi="Times New Roman" w:cs="Times New Roman"/>
                <w:bCs/>
                <w:sz w:val="24"/>
              </w:rPr>
              <w:t>渑池县仰韶文化彩陶艺术展示园、仰韶文化产业园、桓王山国家生态公园、黄河丹峡景区扩建项目</w:t>
            </w:r>
            <w:r>
              <w:rPr>
                <w:rFonts w:ascii="Times New Roman" w:hAnsi="Times New Roman" w:cs="Times New Roman"/>
                <w:bCs/>
                <w:kern w:val="0"/>
                <w:sz w:val="24"/>
              </w:rPr>
              <w:t>。</w:t>
            </w:r>
          </w:p>
          <w:p>
            <w:pPr>
              <w:spacing w:line="360" w:lineRule="auto"/>
              <w:rPr>
                <w:rFonts w:ascii="Times New Roman" w:hAnsi="Times New Roman" w:cs="Times New Roman"/>
                <w:b/>
                <w:sz w:val="24"/>
              </w:rPr>
            </w:pPr>
            <w:r>
              <w:rPr>
                <w:rFonts w:ascii="Times New Roman" w:hAnsi="Times New Roman" w:cs="Times New Roman"/>
                <w:b/>
                <w:sz w:val="24"/>
              </w:rPr>
              <w:t>3.</w:t>
            </w:r>
            <w:r>
              <w:rPr>
                <w:rFonts w:hint="eastAsia"/>
              </w:rPr>
              <w:t xml:space="preserve"> </w:t>
            </w:r>
            <w:r>
              <w:rPr>
                <w:rFonts w:hint="eastAsia" w:ascii="Times New Roman" w:hAnsi="Times New Roman" w:cs="Times New Roman"/>
                <w:b/>
                <w:sz w:val="24"/>
              </w:rPr>
              <w:t>重点景区提升工程</w:t>
            </w:r>
          </w:p>
          <w:p>
            <w:pPr>
              <w:spacing w:line="360" w:lineRule="auto"/>
              <w:ind w:firstLine="480" w:firstLineChars="200"/>
              <w:rPr>
                <w:rFonts w:ascii="Times New Roman" w:hAnsi="Times New Roman" w:cs="Times New Roman"/>
                <w:sz w:val="24"/>
                <w:szCs w:val="32"/>
              </w:rPr>
            </w:pPr>
            <w:r>
              <w:rPr>
                <w:rFonts w:hint="eastAsia" w:ascii="Times New Roman" w:hAnsi="Times New Roman" w:cs="Times New Roman"/>
                <w:sz w:val="24"/>
                <w:szCs w:val="32"/>
              </w:rPr>
              <w:t>建设内容：实施渑池县仰韶大峡谷提档升级项目、渑池县韶山森林公园项目、渑池县仰韶仙门山景区项目、黛眉山柏帝庙景区开发项目、仰韶万亩红叶风景名胜区项目、渑池县黄河丹峡景区</w:t>
            </w:r>
            <w:r>
              <w:rPr>
                <w:rFonts w:ascii="Times New Roman" w:hAnsi="Times New Roman" w:cs="Times New Roman"/>
                <w:sz w:val="24"/>
                <w:szCs w:val="32"/>
              </w:rPr>
              <w:t>5A创建项目、渑池县阳壶古道综合开发利用项目、四龙寨景区开发项目等。</w:t>
            </w:r>
          </w:p>
          <w:p>
            <w:pPr>
              <w:spacing w:line="360" w:lineRule="auto"/>
              <w:rPr>
                <w:rFonts w:ascii="Times New Roman" w:hAnsi="Times New Roman" w:cs="Times New Roman"/>
                <w:b/>
                <w:sz w:val="24"/>
              </w:rPr>
            </w:pPr>
            <w:r>
              <w:rPr>
                <w:rFonts w:ascii="Times New Roman" w:hAnsi="Times New Roman" w:cs="Times New Roman"/>
                <w:b/>
                <w:sz w:val="24"/>
              </w:rPr>
              <w:t>4.</w:t>
            </w:r>
            <w:r>
              <w:rPr>
                <w:rFonts w:hint="eastAsia"/>
              </w:rPr>
              <w:t xml:space="preserve"> </w:t>
            </w:r>
            <w:r>
              <w:rPr>
                <w:rFonts w:hint="eastAsia" w:ascii="Times New Roman" w:hAnsi="Times New Roman" w:cs="Times New Roman"/>
                <w:sz w:val="24"/>
                <w:szCs w:val="32"/>
              </w:rPr>
              <w:t>旅游配套优化工程</w:t>
            </w:r>
          </w:p>
          <w:p>
            <w:pPr>
              <w:spacing w:line="360" w:lineRule="auto"/>
              <w:ind w:firstLine="480" w:firstLineChars="200"/>
              <w:rPr>
                <w:rFonts w:ascii="Times New Roman" w:hAnsi="Times New Roman" w:cs="Times New Roman"/>
                <w:color w:val="000000"/>
                <w:u w:color="000000"/>
              </w:rPr>
            </w:pPr>
            <w:r>
              <w:rPr>
                <w:rFonts w:hint="eastAsia" w:ascii="Times New Roman" w:hAnsi="Times New Roman" w:cs="Times New Roman"/>
                <w:sz w:val="24"/>
                <w:szCs w:val="32"/>
              </w:rPr>
              <w:t>建设内容：实施百里沿黄生态文化旅游绿道、段村乡游客服务中心项目、渑池县黄河百里画廊旅游开发、渑池县文化旅游交通服务体系项目、仰韶大峡谷景区配套项目、渑池县黄河丹峡景区服务功能提升项目等</w:t>
            </w:r>
            <w:r>
              <w:rPr>
                <w:rFonts w:ascii="Times New Roman" w:hAnsi="Times New Roman" w:cs="Times New Roman"/>
                <w:sz w:val="24"/>
                <w:szCs w:val="32"/>
              </w:rPr>
              <w:t>。</w:t>
            </w:r>
          </w:p>
        </w:tc>
      </w:tr>
    </w:tbl>
    <w:p>
      <w:pPr>
        <w:pStyle w:val="3"/>
        <w:widowControl/>
        <w:spacing w:before="120" w:after="120" w:line="360" w:lineRule="auto"/>
        <w:jc w:val="center"/>
        <w:rPr>
          <w:rFonts w:ascii="Times New Roman" w:hAnsi="Times New Roman" w:eastAsia="仿宋_GB2312" w:cs="Times New Roman"/>
          <w:kern w:val="0"/>
          <w:sz w:val="28"/>
          <w:szCs w:val="28"/>
        </w:rPr>
      </w:pPr>
      <w:bookmarkStart w:id="47" w:name="_Toc154474118"/>
      <w:r>
        <w:rPr>
          <w:rFonts w:ascii="Times New Roman" w:hAnsi="Times New Roman" w:eastAsia="仿宋_GB2312" w:cs="Times New Roman"/>
          <w:kern w:val="0"/>
          <w:sz w:val="28"/>
          <w:szCs w:val="28"/>
        </w:rPr>
        <w:t>第六节</w:t>
      </w:r>
      <w:r>
        <w:rPr>
          <w:rFonts w:hint="eastAsia" w:ascii="Times New Roman" w:hAnsi="Times New Roman" w:eastAsia="仿宋_GB2312" w:cs="Times New Roman"/>
          <w:kern w:val="0"/>
          <w:sz w:val="28"/>
          <w:szCs w:val="28"/>
        </w:rPr>
        <w:t xml:space="preserve"> </w:t>
      </w:r>
      <w:r>
        <w:rPr>
          <w:rFonts w:ascii="Times New Roman" w:hAnsi="Times New Roman" w:eastAsia="仿宋_GB2312" w:cs="Times New Roman"/>
          <w:kern w:val="0"/>
          <w:sz w:val="28"/>
          <w:szCs w:val="28"/>
        </w:rPr>
        <w:t>构建区域生态保护新格局</w:t>
      </w:r>
      <w:bookmarkEnd w:id="47"/>
    </w:p>
    <w:p>
      <w:pPr>
        <w:pStyle w:val="38"/>
        <w:ind w:firstLine="480" w:firstLineChars="200"/>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坚持绿水青山就是金山银山理念，坚持尊重自然、顺应自然、保护自然，坚持节约优先、保护优先、自然恢复为主，以沿黄生态保护治理为引领，深入实施可持续发展战略，优化生产生活生态空间，统筹推进生态事业和生态产业，助力黄河流域绿色生态经济发展示范区建设。</w:t>
      </w:r>
    </w:p>
    <w:p>
      <w:pPr>
        <w:spacing w:line="360" w:lineRule="auto"/>
        <w:rPr>
          <w:rFonts w:ascii="Times New Roman" w:hAnsi="Times New Roman" w:cs="Times New Roman"/>
          <w:sz w:val="24"/>
          <w:szCs w:val="32"/>
        </w:rPr>
      </w:pPr>
      <w:r>
        <w:rPr>
          <w:rFonts w:ascii="Times New Roman" w:hAnsi="Times New Roman" w:cs="Times New Roman"/>
          <w:sz w:val="24"/>
          <w:szCs w:val="32"/>
        </w:rPr>
        <w:t xml:space="preserve">    1.工程分布范围</w:t>
      </w:r>
    </w:p>
    <w:p>
      <w:pPr>
        <w:pStyle w:val="38"/>
        <w:rPr>
          <w:rFonts w:ascii="Times New Roman" w:hAnsi="Times New Roman" w:eastAsia="仿宋_GB2312" w:cs="Times New Roman"/>
          <w:color w:val="auto"/>
          <w:sz w:val="24"/>
          <w:szCs w:val="32"/>
          <w:lang w:val="en-US" w:bidi="ar-SA"/>
        </w:rPr>
      </w:pPr>
      <w:r>
        <w:rPr>
          <w:rFonts w:ascii="Times New Roman" w:hAnsi="Times New Roman" w:eastAsia="仿宋_GB2312" w:cs="Times New Roman"/>
          <w:color w:val="auto"/>
          <w:sz w:val="24"/>
          <w:szCs w:val="32"/>
          <w:lang w:val="en-US" w:bidi="ar-SA"/>
        </w:rPr>
        <w:t>以渑池县</w:t>
      </w:r>
      <w:r>
        <w:rPr>
          <w:rFonts w:hint="eastAsia" w:ascii="Times New Roman" w:hAnsi="Times New Roman" w:eastAsia="仿宋_GB2312" w:cs="Times New Roman"/>
          <w:color w:val="auto"/>
          <w:sz w:val="24"/>
          <w:szCs w:val="32"/>
          <w:lang w:val="en-US" w:bidi="ar-SA"/>
        </w:rPr>
        <w:t>重要生态区</w:t>
      </w:r>
      <w:r>
        <w:rPr>
          <w:rFonts w:ascii="Times New Roman" w:hAnsi="Times New Roman" w:eastAsia="仿宋_GB2312" w:cs="Times New Roman"/>
          <w:color w:val="auto"/>
          <w:sz w:val="24"/>
          <w:szCs w:val="32"/>
          <w:lang w:val="en-US" w:bidi="ar-SA"/>
        </w:rPr>
        <w:t>为</w:t>
      </w:r>
      <w:r>
        <w:rPr>
          <w:rFonts w:hint="eastAsia" w:ascii="Times New Roman" w:hAnsi="Times New Roman" w:eastAsia="仿宋_GB2312" w:cs="Times New Roman"/>
          <w:color w:val="auto"/>
          <w:sz w:val="24"/>
          <w:szCs w:val="32"/>
          <w:lang w:val="en-US" w:bidi="ar-SA"/>
        </w:rPr>
        <w:t>主</w:t>
      </w:r>
      <w:r>
        <w:rPr>
          <w:rFonts w:ascii="Times New Roman" w:hAnsi="Times New Roman" w:eastAsia="仿宋_GB2312" w:cs="Times New Roman"/>
          <w:color w:val="auto"/>
          <w:sz w:val="24"/>
          <w:szCs w:val="32"/>
          <w:lang w:val="en-US" w:bidi="ar-SA"/>
        </w:rPr>
        <w:t>，涉及</w:t>
      </w:r>
      <w:r>
        <w:rPr>
          <w:rFonts w:hint="eastAsia" w:ascii="Times New Roman" w:hAnsi="Times New Roman" w:eastAsia="仿宋_GB2312" w:cs="Times New Roman"/>
          <w:color w:val="auto"/>
          <w:sz w:val="24"/>
          <w:szCs w:val="32"/>
          <w:lang w:val="en-US" w:bidi="ar-SA"/>
        </w:rPr>
        <w:t>森林公园建设以及</w:t>
      </w:r>
      <w:r>
        <w:rPr>
          <w:rFonts w:ascii="Times New Roman" w:hAnsi="Times New Roman" w:eastAsia="仿宋_GB2312" w:cs="Times New Roman"/>
          <w:color w:val="auto"/>
          <w:sz w:val="24"/>
          <w:szCs w:val="32"/>
          <w:lang w:val="en-US" w:bidi="ar-SA"/>
        </w:rPr>
        <w:t>黄河沿线生态修复、绿化、湿地保护、水土流失治理、土壤保护等区域。</w:t>
      </w:r>
    </w:p>
    <w:p>
      <w:pPr>
        <w:spacing w:line="360" w:lineRule="auto"/>
        <w:rPr>
          <w:rFonts w:ascii="Times New Roman" w:hAnsi="Times New Roman" w:cs="Times New Roman"/>
          <w:sz w:val="24"/>
        </w:rPr>
      </w:pPr>
      <w:r>
        <w:rPr>
          <w:rFonts w:ascii="Times New Roman" w:hAnsi="Times New Roman" w:cs="Times New Roman"/>
          <w:sz w:val="24"/>
        </w:rPr>
        <w:t xml:space="preserve">    2.保护修复措施</w:t>
      </w:r>
    </w:p>
    <w:p>
      <w:pPr>
        <w:spacing w:line="360" w:lineRule="auto"/>
        <w:ind w:firstLine="480" w:firstLineChars="200"/>
        <w:textAlignment w:val="baseline"/>
        <w:rPr>
          <w:rFonts w:ascii="Times New Roman" w:hAnsi="Times New Roman" w:cs="Times New Roman"/>
          <w:sz w:val="24"/>
          <w:szCs w:val="32"/>
        </w:rPr>
      </w:pPr>
      <w:r>
        <w:rPr>
          <w:rFonts w:ascii="Times New Roman" w:hAnsi="Times New Roman" w:cs="Times New Roman"/>
          <w:sz w:val="24"/>
          <w:szCs w:val="32"/>
        </w:rPr>
        <w:t>坚持保护优先、开发有序，以控制不合理的资源开发活动为重点，从基础层面放大生态优势。以创建韶山国家级森林公园（地质公园）为抓手，以仰韶大峡谷、韶山森林公园、石佛峡和五凤山等为生态建设重点，打造县域生态核心区；以垣渑-渑淅高速两侧防护绿化为重点，打造贯通县域的绿色生态廊道，有针对性的开展生态环境建设工程。</w:t>
      </w:r>
    </w:p>
    <w:p>
      <w:pPr>
        <w:spacing w:line="360" w:lineRule="auto"/>
        <w:ind w:firstLine="480" w:firstLineChars="200"/>
        <w:textAlignment w:val="baseline"/>
        <w:rPr>
          <w:rFonts w:ascii="Times New Roman" w:hAnsi="Times New Roman" w:cs="Times New Roman"/>
          <w:sz w:val="24"/>
          <w:szCs w:val="32"/>
        </w:rPr>
      </w:pPr>
      <w:r>
        <w:rPr>
          <w:rFonts w:ascii="Times New Roman" w:hAnsi="Times New Roman" w:cs="Times New Roman"/>
          <w:sz w:val="24"/>
          <w:szCs w:val="32"/>
        </w:rPr>
        <w:t>以改善生态环境质量为目标，坚持方向不变、力度不减，突出精准治污、科学治污、依法治污，推动生态环境质量持续好转。推进大气污染防治攻坚。围绕碳达峰、碳中和的新目标，降低碳消耗和碳排放，实现减污降碳协同效应，加强细颗粒物（PM2.5）和臭氧协同控制。</w:t>
      </w:r>
    </w:p>
    <w:p>
      <w:pPr>
        <w:spacing w:line="360" w:lineRule="auto"/>
        <w:ind w:firstLine="480" w:firstLineChars="200"/>
        <w:textAlignment w:val="baseline"/>
        <w:rPr>
          <w:rFonts w:ascii="Times New Roman" w:hAnsi="Times New Roman" w:cs="Times New Roman"/>
          <w:sz w:val="24"/>
          <w:szCs w:val="32"/>
        </w:rPr>
      </w:pPr>
      <w:r>
        <w:rPr>
          <w:rFonts w:ascii="Times New Roman" w:hAnsi="Times New Roman" w:cs="Times New Roman"/>
          <w:sz w:val="24"/>
          <w:szCs w:val="32"/>
        </w:rPr>
        <w:t>坚持节约优先，树立节约集约循环利用的资源观，加强全过程资源能源节约管理，建立资源循环利用体系，建设资源节约型社会。</w:t>
      </w:r>
    </w:p>
    <w:p>
      <w:pPr>
        <w:spacing w:line="360" w:lineRule="auto"/>
        <w:ind w:firstLine="480" w:firstLineChars="200"/>
        <w:textAlignment w:val="baseline"/>
        <w:rPr>
          <w:rFonts w:ascii="Times New Roman" w:hAnsi="Times New Roman" w:cs="Times New Roman"/>
          <w:sz w:val="24"/>
          <w:szCs w:val="32"/>
        </w:rPr>
      </w:pPr>
      <w:r>
        <w:rPr>
          <w:rFonts w:ascii="Times New Roman" w:hAnsi="Times New Roman" w:cs="Times New Roman"/>
          <w:sz w:val="24"/>
          <w:szCs w:val="32"/>
        </w:rPr>
        <w:t>积极践行绿色发展方式，充分发挥全省唯一大宗固废综合利用基地优势，鼓励各大企业实施固体废弃物综合利用项目，形成大宗固体废弃物的减量化、无害化、资源化、产业化的发展体系。建设辐射周边、引领全省的“高效、高值、规模利用”的绿色生态示范基地。</w:t>
      </w:r>
    </w:p>
    <w:p>
      <w:pPr>
        <w:widowControl/>
        <w:autoSpaceDE w:val="0"/>
        <w:autoSpaceDN w:val="0"/>
        <w:spacing w:line="360" w:lineRule="auto"/>
        <w:ind w:firstLine="480"/>
        <w:jc w:val="left"/>
        <w:rPr>
          <w:rFonts w:ascii="Times New Roman" w:hAnsi="Times New Roman" w:cs="Times New Roman"/>
          <w:sz w:val="24"/>
        </w:rPr>
      </w:pPr>
      <w:r>
        <w:rPr>
          <w:rFonts w:ascii="Times New Roman" w:hAnsi="Times New Roman" w:cs="Times New Roman"/>
          <w:sz w:val="24"/>
        </w:rPr>
        <w:t>3. 工程部署</w:t>
      </w:r>
    </w:p>
    <w:p>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紧抓黄河流域生态保护和高质量发展国家重大战略机遇，提升自然生态系统治理和稳定性。同时，稳步推进大宗固废基地园区绿地建设以及固体废弃物综合处理工程。</w:t>
      </w:r>
    </w:p>
    <w:tbl>
      <w:tblPr>
        <w:tblStyle w:val="19"/>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8497" w:type="dxa"/>
            <w:vAlign w:val="center"/>
          </w:tcPr>
          <w:p>
            <w:pPr>
              <w:widowControl/>
              <w:jc w:val="center"/>
              <w:rPr>
                <w:rFonts w:ascii="Times New Roman" w:hAnsi="Times New Roman" w:cs="Times New Roman"/>
                <w:b/>
                <w:color w:val="000000"/>
                <w:kern w:val="0"/>
                <w:sz w:val="24"/>
                <w:lang w:bidi="ar"/>
              </w:rPr>
            </w:pPr>
            <w:r>
              <w:rPr>
                <w:rFonts w:ascii="Times New Roman" w:hAnsi="Times New Roman" w:cs="Times New Roman"/>
                <w:sz w:val="24"/>
                <w:szCs w:val="32"/>
              </w:rPr>
              <w:t xml:space="preserve">  </w:t>
            </w:r>
            <w:r>
              <w:rPr>
                <w:rFonts w:ascii="Times New Roman" w:hAnsi="Times New Roman" w:cs="Times New Roman"/>
                <w:b/>
                <w:color w:val="000000"/>
                <w:kern w:val="0"/>
                <w:sz w:val="24"/>
                <w:lang w:bidi="ar"/>
              </w:rPr>
              <w:t>专栏</w:t>
            </w:r>
            <w:r>
              <w:rPr>
                <w:rFonts w:hint="eastAsia" w:ascii="Times New Roman" w:hAnsi="Times New Roman" w:cs="Times New Roman"/>
                <w:b/>
                <w:color w:val="000000"/>
                <w:kern w:val="0"/>
                <w:sz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7" w:type="dxa"/>
            <w:vAlign w:val="center"/>
          </w:tcPr>
          <w:p>
            <w:pPr>
              <w:spacing w:line="360" w:lineRule="auto"/>
              <w:rPr>
                <w:rFonts w:ascii="Times New Roman" w:hAnsi="Times New Roman" w:cs="Times New Roman"/>
                <w:b/>
                <w:sz w:val="24"/>
              </w:rPr>
            </w:pPr>
            <w:r>
              <w:rPr>
                <w:rFonts w:ascii="Times New Roman" w:hAnsi="Times New Roman" w:cs="Times New Roman"/>
                <w:b/>
                <w:sz w:val="24"/>
              </w:rPr>
              <w:t>1、沿黄生态带</w:t>
            </w:r>
          </w:p>
          <w:p>
            <w:pPr>
              <w:spacing w:line="360" w:lineRule="auto"/>
              <w:ind w:firstLine="480" w:firstLineChars="200"/>
              <w:rPr>
                <w:rFonts w:ascii="Times New Roman" w:hAnsi="Times New Roman" w:cs="Times New Roman"/>
                <w:color w:val="000000"/>
                <w:sz w:val="24"/>
              </w:rPr>
            </w:pPr>
            <w:r>
              <w:rPr>
                <w:rFonts w:ascii="Times New Roman" w:hAnsi="Times New Roman" w:cs="Times New Roman"/>
                <w:color w:val="000000"/>
                <w:sz w:val="24"/>
              </w:rPr>
              <w:t>建设内容：实施黄河沿线生态修复、绿化、湿地保护、水土流失治理、土壤保护等。</w:t>
            </w:r>
          </w:p>
          <w:p>
            <w:pPr>
              <w:spacing w:line="360" w:lineRule="auto"/>
              <w:rPr>
                <w:rFonts w:ascii="Times New Roman" w:hAnsi="Times New Roman" w:cs="Times New Roman"/>
                <w:b/>
                <w:sz w:val="24"/>
              </w:rPr>
            </w:pPr>
            <w:r>
              <w:rPr>
                <w:rFonts w:ascii="Times New Roman" w:hAnsi="Times New Roman" w:cs="Times New Roman"/>
                <w:b/>
                <w:sz w:val="24"/>
              </w:rPr>
              <w:t>2、绿地建设工程</w:t>
            </w:r>
          </w:p>
          <w:p>
            <w:pPr>
              <w:widowControl/>
              <w:autoSpaceDE w:val="0"/>
              <w:autoSpaceDN w:val="0"/>
              <w:spacing w:line="360" w:lineRule="auto"/>
              <w:ind w:firstLine="420"/>
              <w:jc w:val="left"/>
              <w:rPr>
                <w:rFonts w:ascii="Times New Roman" w:hAnsi="Times New Roman" w:cs="Times New Roman"/>
                <w:color w:val="000000"/>
                <w:sz w:val="24"/>
              </w:rPr>
            </w:pPr>
            <w:r>
              <w:rPr>
                <w:rFonts w:ascii="Times New Roman" w:hAnsi="Times New Roman" w:cs="Times New Roman"/>
                <w:color w:val="000000"/>
                <w:sz w:val="24"/>
              </w:rPr>
              <w:t>建设内容：大宗固废基地园区绿地建设。</w:t>
            </w:r>
          </w:p>
          <w:p>
            <w:pPr>
              <w:spacing w:line="360" w:lineRule="auto"/>
              <w:rPr>
                <w:rFonts w:ascii="Times New Roman" w:hAnsi="Times New Roman" w:cs="Times New Roman"/>
                <w:b/>
                <w:sz w:val="24"/>
              </w:rPr>
            </w:pPr>
            <w:r>
              <w:rPr>
                <w:rFonts w:ascii="Times New Roman" w:hAnsi="Times New Roman" w:cs="Times New Roman"/>
                <w:b/>
                <w:sz w:val="24"/>
              </w:rPr>
              <w:t>3、固体废弃物综合处理工程</w:t>
            </w:r>
          </w:p>
          <w:p>
            <w:pPr>
              <w:widowControl/>
              <w:autoSpaceDE w:val="0"/>
              <w:autoSpaceDN w:val="0"/>
              <w:spacing w:line="360" w:lineRule="auto"/>
              <w:ind w:firstLine="420"/>
              <w:jc w:val="left"/>
              <w:rPr>
                <w:rFonts w:ascii="Times New Roman" w:hAnsi="Times New Roman" w:cs="Times New Roman"/>
                <w:color w:val="FF0000"/>
                <w:sz w:val="24"/>
                <w:u w:color="000000"/>
              </w:rPr>
            </w:pPr>
            <w:r>
              <w:rPr>
                <w:rFonts w:ascii="Times New Roman" w:hAnsi="Times New Roman" w:cs="Times New Roman"/>
                <w:color w:val="000000"/>
                <w:sz w:val="24"/>
              </w:rPr>
              <w:t>建设内容：包括分类收集运输工程、渑池县生活垃圾应急处置场项目、农作物秸秆及畜禽养殖废污综合利用项目。</w:t>
            </w:r>
          </w:p>
        </w:tc>
      </w:tr>
    </w:tbl>
    <w:p>
      <w:pPr>
        <w:pStyle w:val="41"/>
        <w:spacing w:before="0" w:beforeAutospacing="0" w:after="0"/>
        <w:ind w:left="0" w:leftChars="0" w:firstLine="0"/>
        <w:rPr>
          <w:rFonts w:ascii="Times New Roman" w:hAnsi="Times New Roman" w:eastAsia="仿宋_GB2312" w:cs="Times New Roman"/>
          <w:color w:val="auto"/>
          <w:sz w:val="24"/>
          <w:szCs w:val="32"/>
        </w:rPr>
      </w:pPr>
    </w:p>
    <w:p>
      <w:pPr>
        <w:pStyle w:val="2"/>
        <w:spacing w:line="360" w:lineRule="auto"/>
        <w:jc w:val="center"/>
        <w:rPr>
          <w:rFonts w:ascii="Times New Roman" w:hAnsi="Times New Roman" w:eastAsia="仿宋_GB2312" w:cs="Times New Roman"/>
          <w:sz w:val="30"/>
          <w:szCs w:val="30"/>
        </w:rPr>
      </w:pPr>
      <w:bookmarkStart w:id="48" w:name="_Toc91493524"/>
      <w:bookmarkStart w:id="49" w:name="_Toc131750843"/>
      <w:bookmarkStart w:id="50" w:name="_Toc154474119"/>
      <w:r>
        <w:rPr>
          <w:rFonts w:ascii="Times New Roman" w:hAnsi="Times New Roman" w:eastAsia="仿宋_GB2312" w:cs="Times New Roman"/>
          <w:sz w:val="30"/>
          <w:szCs w:val="30"/>
        </w:rPr>
        <w:t>第</w:t>
      </w:r>
      <w:r>
        <w:rPr>
          <w:rFonts w:hint="eastAsia" w:ascii="Times New Roman" w:hAnsi="Times New Roman" w:eastAsia="仿宋_GB2312" w:cs="Times New Roman"/>
          <w:sz w:val="30"/>
          <w:szCs w:val="30"/>
        </w:rPr>
        <w:t>五</w:t>
      </w:r>
      <w:r>
        <w:rPr>
          <w:rFonts w:ascii="Times New Roman" w:hAnsi="Times New Roman" w:eastAsia="仿宋_GB2312" w:cs="Times New Roman"/>
          <w:sz w:val="30"/>
          <w:szCs w:val="30"/>
        </w:rPr>
        <w:t>章 效益分析</w:t>
      </w:r>
      <w:bookmarkEnd w:id="48"/>
      <w:bookmarkEnd w:id="49"/>
      <w:bookmarkEnd w:id="50"/>
    </w:p>
    <w:p>
      <w:pPr>
        <w:pStyle w:val="3"/>
        <w:widowControl/>
        <w:spacing w:before="120" w:after="120" w:line="360" w:lineRule="auto"/>
        <w:jc w:val="center"/>
        <w:rPr>
          <w:rFonts w:ascii="Times New Roman" w:hAnsi="Times New Roman" w:eastAsia="仿宋_GB2312" w:cs="Times New Roman"/>
          <w:kern w:val="0"/>
          <w:sz w:val="28"/>
          <w:szCs w:val="28"/>
        </w:rPr>
      </w:pPr>
      <w:bookmarkStart w:id="51" w:name="_Toc131750844"/>
      <w:bookmarkStart w:id="52" w:name="_Toc154474120"/>
      <w:r>
        <w:rPr>
          <w:rFonts w:ascii="Times New Roman" w:hAnsi="Times New Roman" w:eastAsia="仿宋_GB2312" w:cs="Times New Roman"/>
          <w:kern w:val="0"/>
          <w:sz w:val="28"/>
          <w:szCs w:val="28"/>
        </w:rPr>
        <w:t>第一节 生态效益</w:t>
      </w:r>
      <w:bookmarkEnd w:id="51"/>
      <w:bookmarkEnd w:id="52"/>
    </w:p>
    <w:p>
      <w:pPr>
        <w:autoSpaceDE w:val="0"/>
        <w:autoSpaceDN w:val="0"/>
        <w:adjustRightInd w:val="0"/>
        <w:spacing w:line="360" w:lineRule="auto"/>
        <w:rPr>
          <w:rFonts w:ascii="Times New Roman" w:hAnsi="Times New Roman" w:cs="Times New Roman"/>
          <w:color w:val="FF0000"/>
          <w:kern w:val="0"/>
          <w:sz w:val="24"/>
        </w:rPr>
      </w:pPr>
      <w:r>
        <w:rPr>
          <w:rFonts w:ascii="Times New Roman" w:hAnsi="Times New Roman" w:cs="Times New Roman"/>
          <w:color w:val="FF0000"/>
          <w:sz w:val="24"/>
          <w:shd w:val="clear" w:color="auto" w:fill="FFFFFF"/>
        </w:rPr>
        <w:t xml:space="preserve">    </w:t>
      </w:r>
      <w:r>
        <w:rPr>
          <w:rFonts w:ascii="Times New Roman" w:hAnsi="Times New Roman" w:cs="Times New Roman"/>
          <w:sz w:val="24"/>
          <w:shd w:val="clear" w:color="auto" w:fill="FFFFFF"/>
        </w:rPr>
        <w:t>以渑池县山体资源保护为目标，对重点保护山体、一般保护山体范围进行划分，有针对性的开</w:t>
      </w:r>
      <w:r>
        <w:rPr>
          <w:rFonts w:ascii="Times New Roman" w:hAnsi="Times New Roman" w:cs="Times New Roman"/>
          <w:kern w:val="0"/>
          <w:sz w:val="24"/>
          <w:lang w:val="zh-CN"/>
        </w:rPr>
        <w:t>展森林资源保护、水资源安全与水土保持、耕地资源保护、矿山地质环境恢复与资质、生态文化旅游和生态环境修复改善工程，</w:t>
      </w:r>
      <w:r>
        <w:rPr>
          <w:rFonts w:ascii="Times New Roman" w:hAnsi="Times New Roman" w:cs="Times New Roman"/>
          <w:sz w:val="24"/>
        </w:rPr>
        <w:t>通过</w:t>
      </w:r>
      <w:r>
        <w:rPr>
          <w:rFonts w:ascii="Times New Roman" w:hAnsi="Times New Roman" w:cs="Times New Roman"/>
          <w:kern w:val="0"/>
          <w:sz w:val="24"/>
          <w:lang w:val="zh-CN"/>
        </w:rPr>
        <w:t>提升沿黄公路两侧绿化水平，将城乡绿地、黄河湿地、绿廊等山水林田湖草自然生态有机要素有机连接，持续提升城乡生态，打造人与自然和谐共处的绿色渑池。</w:t>
      </w:r>
      <w:r>
        <w:rPr>
          <w:rFonts w:ascii="Times New Roman" w:hAnsi="Times New Roman" w:cs="Times New Roman"/>
          <w:sz w:val="24"/>
          <w:shd w:val="clear" w:color="auto" w:fill="FFFFFF"/>
        </w:rPr>
        <w:t>主要生态效益如下：</w:t>
      </w:r>
    </w:p>
    <w:p>
      <w:pPr>
        <w:autoSpaceDE w:val="0"/>
        <w:autoSpaceDN w:val="0"/>
        <w:adjustRightInd w:val="0"/>
        <w:spacing w:line="360" w:lineRule="auto"/>
        <w:ind w:firstLine="492"/>
        <w:rPr>
          <w:rFonts w:ascii="Times New Roman" w:hAnsi="Times New Roman" w:cs="Times New Roman"/>
          <w:sz w:val="24"/>
          <w:shd w:val="clear" w:color="auto" w:fill="FFFFFF"/>
        </w:rPr>
      </w:pPr>
      <w:r>
        <w:rPr>
          <w:rFonts w:ascii="Times New Roman" w:hAnsi="Times New Roman" w:cs="Times New Roman"/>
          <w:b/>
          <w:sz w:val="24"/>
          <w:shd w:val="clear" w:color="auto" w:fill="FFFFFF"/>
        </w:rPr>
        <w:t>提升森林生态质量，增强生态系统稳定性</w:t>
      </w:r>
      <w:r>
        <w:rPr>
          <w:rFonts w:ascii="Times New Roman" w:hAnsi="Times New Roman" w:cs="Times New Roman"/>
          <w:sz w:val="24"/>
          <w:shd w:val="clear" w:color="auto" w:fill="FFFFFF"/>
        </w:rPr>
        <w:t>。</w:t>
      </w:r>
      <w:r>
        <w:rPr>
          <w:rFonts w:ascii="Times New Roman" w:hAnsi="Times New Roman" w:cs="Times New Roman"/>
          <w:sz w:val="24"/>
        </w:rPr>
        <w:t>森林作为重要的可再生资源，不仅为人类的生产生活提供木材及林副产品等物质资源，还具有</w:t>
      </w:r>
      <w:r>
        <w:rPr>
          <w:rFonts w:ascii="Times New Roman" w:hAnsi="Times New Roman" w:cs="Times New Roman"/>
          <w:sz w:val="24"/>
          <w:shd w:val="clear" w:color="auto" w:fill="FFFFFF"/>
        </w:rPr>
        <w:t>净化空气、调节气候、涵养水源、保持水土、固碳释氧及保护环境、维护生物多样性和维持生态平衡等生态功能与效益。</w:t>
      </w:r>
    </w:p>
    <w:p>
      <w:pPr>
        <w:autoSpaceDE w:val="0"/>
        <w:autoSpaceDN w:val="0"/>
        <w:adjustRightInd w:val="0"/>
        <w:spacing w:line="360" w:lineRule="auto"/>
        <w:ind w:firstLine="492"/>
        <w:rPr>
          <w:rFonts w:ascii="Times New Roman" w:hAnsi="Times New Roman" w:cs="Times New Roman"/>
          <w:color w:val="FF0000"/>
          <w:sz w:val="24"/>
        </w:rPr>
      </w:pPr>
      <w:r>
        <w:rPr>
          <w:rFonts w:ascii="Times New Roman" w:hAnsi="Times New Roman" w:cs="Times New Roman"/>
          <w:b/>
          <w:sz w:val="24"/>
        </w:rPr>
        <w:t>改善河流生态环境，提升水土保持能力</w:t>
      </w:r>
      <w:r>
        <w:rPr>
          <w:rFonts w:ascii="Times New Roman" w:hAnsi="Times New Roman" w:cs="Times New Roman"/>
          <w:sz w:val="24"/>
        </w:rPr>
        <w:t>。山体水资源保护能够改善黄河流域生态，强化对河流、湖泊、湿地等重要生态空间保护，打造人与自然和谐发展的良好格局。加强生态恢复与生态建设，治理水土流失，恢复与重建水源涵养生态系统，能够提高生态系统的水源涵养功能。对水源涵养区的保护与管理，能够严格保护具有重要水源涵养功能的自然植被。</w:t>
      </w:r>
    </w:p>
    <w:p>
      <w:pPr>
        <w:autoSpaceDE w:val="0"/>
        <w:autoSpaceDN w:val="0"/>
        <w:adjustRightInd w:val="0"/>
        <w:spacing w:line="360" w:lineRule="auto"/>
        <w:rPr>
          <w:rFonts w:ascii="Times New Roman" w:hAnsi="Times New Roman" w:cs="Times New Roman"/>
          <w:sz w:val="24"/>
          <w:shd w:val="clear" w:color="auto" w:fill="FFFFFF"/>
          <w:lang w:val="zh-CN" w:bidi="zh-CN"/>
        </w:rPr>
      </w:pPr>
      <w:r>
        <w:rPr>
          <w:rFonts w:ascii="Times New Roman" w:hAnsi="Times New Roman" w:cs="Times New Roman"/>
          <w:color w:val="FF0000"/>
          <w:sz w:val="24"/>
          <w:shd w:val="clear" w:color="auto" w:fill="FFFFFF"/>
        </w:rPr>
        <w:t xml:space="preserve">   </w:t>
      </w:r>
      <w:r>
        <w:rPr>
          <w:rFonts w:ascii="Times New Roman" w:hAnsi="Times New Roman" w:cs="Times New Roman"/>
          <w:sz w:val="24"/>
        </w:rPr>
        <w:t xml:space="preserve"> </w:t>
      </w:r>
      <w:r>
        <w:rPr>
          <w:rFonts w:ascii="Times New Roman" w:hAnsi="Times New Roman" w:cs="Times New Roman"/>
          <w:b/>
          <w:sz w:val="24"/>
          <w:shd w:val="clear" w:color="auto" w:fill="FFFFFF"/>
        </w:rPr>
        <w:t>保护矿山地质环境，推进矿山复林复绿</w:t>
      </w:r>
      <w:r>
        <w:rPr>
          <w:rFonts w:ascii="Times New Roman" w:hAnsi="Times New Roman" w:cs="Times New Roman"/>
          <w:sz w:val="24"/>
        </w:rPr>
        <w:t>。历史遗留矿山环境得到治理，生产矿山实现应治尽治，重要铁路沿线的景观得到全面提升；矿山治理过程中新增的宜林宜耕地，既有效缓解了土地资源短缺的矛盾，又增加了国土绿化面积。针对废弃采矿区、自然灾害造成的山体滑坡、岩石裸露等问题开展生态修复治理，显著提升了矿区生态质量</w:t>
      </w:r>
      <w:r>
        <w:rPr>
          <w:rFonts w:hint="eastAsia" w:ascii="Times New Roman" w:hAnsi="Times New Roman" w:cs="Times New Roman"/>
          <w:sz w:val="24"/>
        </w:rPr>
        <w:t>。</w:t>
      </w:r>
    </w:p>
    <w:p>
      <w:pPr>
        <w:pStyle w:val="3"/>
        <w:widowControl/>
        <w:spacing w:before="120" w:after="120" w:line="360" w:lineRule="auto"/>
        <w:jc w:val="center"/>
        <w:rPr>
          <w:rFonts w:ascii="Times New Roman" w:hAnsi="Times New Roman" w:eastAsia="仿宋_GB2312" w:cs="Times New Roman"/>
          <w:kern w:val="0"/>
          <w:sz w:val="28"/>
          <w:szCs w:val="28"/>
        </w:rPr>
      </w:pPr>
      <w:bookmarkStart w:id="53" w:name="_Toc131750845"/>
      <w:bookmarkStart w:id="54" w:name="_Toc154474121"/>
      <w:r>
        <w:rPr>
          <w:rFonts w:ascii="Times New Roman" w:hAnsi="Times New Roman" w:eastAsia="仿宋_GB2312" w:cs="Times New Roman"/>
          <w:kern w:val="0"/>
          <w:sz w:val="28"/>
          <w:szCs w:val="28"/>
        </w:rPr>
        <w:t>第二节 社会效益</w:t>
      </w:r>
      <w:bookmarkEnd w:id="53"/>
      <w:bookmarkEnd w:id="54"/>
    </w:p>
    <w:p>
      <w:pPr>
        <w:spacing w:line="360" w:lineRule="auto"/>
        <w:ind w:firstLine="482" w:firstLineChars="200"/>
        <w:rPr>
          <w:rFonts w:ascii="Times New Roman" w:hAnsi="Times New Roman" w:cs="Times New Roman"/>
          <w:b/>
          <w:sz w:val="24"/>
        </w:rPr>
      </w:pPr>
      <w:r>
        <w:rPr>
          <w:rFonts w:ascii="Times New Roman" w:hAnsi="Times New Roman" w:cs="Times New Roman"/>
          <w:b/>
          <w:sz w:val="24"/>
        </w:rPr>
        <w:t>践行绿色发展方式，建设节能低碳城市。</w:t>
      </w:r>
      <w:r>
        <w:rPr>
          <w:rFonts w:ascii="Times New Roman" w:hAnsi="Times New Roman" w:cs="Times New Roman"/>
          <w:bCs/>
          <w:sz w:val="24"/>
        </w:rPr>
        <w:t>山体保护坚持了生态立县战略，牢固树立和践行绿水青山就是金山银山的理念，严格落实生态保护制度，严守生态保护红线，切实解决山体生态环境问题，以绿色发展引领城市，构建人与自然和谐共生的社会发展新格局。</w:t>
      </w:r>
    </w:p>
    <w:p>
      <w:pPr>
        <w:spacing w:line="360" w:lineRule="auto"/>
        <w:ind w:firstLine="482" w:firstLineChars="200"/>
        <w:rPr>
          <w:rFonts w:ascii="Times New Roman" w:hAnsi="Times New Roman" w:cs="Times New Roman"/>
          <w:b/>
          <w:sz w:val="24"/>
        </w:rPr>
      </w:pPr>
      <w:r>
        <w:rPr>
          <w:rFonts w:ascii="Times New Roman" w:hAnsi="Times New Roman" w:cs="Times New Roman"/>
          <w:b/>
          <w:sz w:val="24"/>
        </w:rPr>
        <w:t>减少地质灾害威胁，增强人民群众幸福感。</w:t>
      </w:r>
      <w:r>
        <w:rPr>
          <w:rFonts w:ascii="Times New Roman" w:hAnsi="Times New Roman" w:cs="Times New Roman"/>
          <w:sz w:val="24"/>
        </w:rPr>
        <w:t>随着山体保护工作的开展与推进，山体资源得到保护，对废弃矿井、地面塌陷区、滑坡、崩塌、泥石流易发区进行治理，可以最大限度减少地质灾害危险性与安全隐患，改善矿区附近居民居住环境，避免对周边居民生命财产造成危害，减少矿山企业与当地村民之间矛盾，减少社会不安定因素，有利于人民安居乐业。</w:t>
      </w:r>
    </w:p>
    <w:p>
      <w:pPr>
        <w:pStyle w:val="34"/>
        <w:spacing w:after="0" w:line="360" w:lineRule="auto"/>
        <w:ind w:left="0" w:leftChars="0" w:firstLine="482"/>
        <w:rPr>
          <w:rFonts w:ascii="Times New Roman" w:hAnsi="Times New Roman" w:eastAsia="仿宋_GB2312"/>
          <w:sz w:val="24"/>
          <w:szCs w:val="22"/>
        </w:rPr>
      </w:pPr>
      <w:r>
        <w:rPr>
          <w:rFonts w:ascii="Times New Roman" w:hAnsi="Times New Roman" w:eastAsia="仿宋_GB2312"/>
          <w:b/>
          <w:bCs/>
          <w:sz w:val="24"/>
          <w:szCs w:val="22"/>
        </w:rPr>
        <w:t>繁荣发展文化旅游，擦亮渑池特色文旅名片。</w:t>
      </w:r>
      <w:r>
        <w:rPr>
          <w:rFonts w:ascii="Times New Roman" w:hAnsi="Times New Roman" w:eastAsia="仿宋_GB2312"/>
          <w:sz w:val="24"/>
          <w:szCs w:val="22"/>
        </w:rPr>
        <w:t>山体资源是发展森林旅游、森林康养、森林休闲等生态旅游产业的基础。同时，保护山体中的文化遗迹，推动景区提质建设，积极融入黄河文化旅游带建设（仰韶廊道、红叶廊道、阳壶古道、西环廊道、崤函古道等），使文旅产业成为渑池县经济高质量发展的强劲引擎，把渑池建设成为黄河流域具有较高知名度的文化旅游强县。借助山体中丰富的文化旅游资源，大力实施“旅游+”工程，使渑池处处可看、处处可游、处处可玩，形成多点开花的良好发展局面。</w:t>
      </w:r>
      <w:bookmarkStart w:id="55" w:name="_Toc154474122"/>
      <w:bookmarkStart w:id="56" w:name="_Toc131750846"/>
    </w:p>
    <w:p>
      <w:pPr>
        <w:pStyle w:val="34"/>
        <w:spacing w:after="0" w:line="360" w:lineRule="auto"/>
        <w:ind w:left="0" w:leftChars="0" w:firstLine="482"/>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第三节 经济效益</w:t>
      </w:r>
      <w:bookmarkEnd w:id="55"/>
      <w:bookmarkEnd w:id="56"/>
    </w:p>
    <w:p>
      <w:pPr>
        <w:pStyle w:val="38"/>
        <w:ind w:firstLine="492"/>
        <w:rPr>
          <w:rFonts w:ascii="Times New Roman" w:hAnsi="Times New Roman" w:eastAsia="仿宋_GB2312" w:cs="Times New Roman"/>
          <w:b/>
          <w:bCs/>
          <w:color w:val="auto"/>
          <w:sz w:val="24"/>
          <w:szCs w:val="22"/>
          <w:lang w:val="en-US" w:bidi="ar-SA"/>
        </w:rPr>
      </w:pPr>
      <w:r>
        <w:rPr>
          <w:rFonts w:ascii="Times New Roman" w:hAnsi="Times New Roman" w:eastAsia="仿宋_GB2312" w:cs="Times New Roman"/>
          <w:b/>
          <w:bCs/>
          <w:color w:val="auto"/>
          <w:sz w:val="24"/>
          <w:szCs w:val="22"/>
          <w:lang w:val="en-US" w:bidi="ar-SA"/>
        </w:rPr>
        <w:t>修复矿山地质环境，缓解土地资源短缺。</w:t>
      </w:r>
      <w:r>
        <w:rPr>
          <w:rFonts w:ascii="Times New Roman" w:hAnsi="Times New Roman" w:eastAsia="仿宋_GB2312" w:cs="Times New Roman"/>
          <w:color w:val="auto"/>
          <w:sz w:val="24"/>
          <w:szCs w:val="22"/>
          <w:lang w:val="en-US" w:bidi="ar-SA"/>
        </w:rPr>
        <w:t>矿山地质环境恢复治理项目的实施，将获得大量的耕地与建设用地土地指标，既可缓解本地在城镇化过程中产生的土地指标短缺，同时还可进行土地指标出售，创造经济效益。</w:t>
      </w:r>
    </w:p>
    <w:p>
      <w:pPr>
        <w:pStyle w:val="38"/>
        <w:ind w:firstLine="492"/>
        <w:rPr>
          <w:rFonts w:ascii="Times New Roman" w:hAnsi="Times New Roman" w:eastAsia="仿宋_GB2312" w:cs="Times New Roman"/>
          <w:color w:val="auto"/>
          <w:sz w:val="24"/>
          <w:szCs w:val="22"/>
          <w:lang w:val="en-US" w:bidi="ar-SA"/>
        </w:rPr>
      </w:pPr>
      <w:r>
        <w:rPr>
          <w:rFonts w:ascii="Times New Roman" w:hAnsi="Times New Roman" w:eastAsia="仿宋_GB2312" w:cs="Times New Roman"/>
          <w:b/>
          <w:bCs/>
          <w:color w:val="auto"/>
          <w:sz w:val="24"/>
          <w:szCs w:val="22"/>
          <w:lang w:val="en-US" w:bidi="ar-SA"/>
        </w:rPr>
        <w:t>助力产业蓬勃发展，提升居民获得感。</w:t>
      </w:r>
      <w:r>
        <w:rPr>
          <w:rFonts w:ascii="Times New Roman" w:hAnsi="Times New Roman" w:eastAsia="仿宋_GB2312" w:cs="Times New Roman"/>
          <w:color w:val="auto"/>
          <w:sz w:val="24"/>
          <w:szCs w:val="22"/>
          <w:lang w:val="en-US" w:bidi="ar-SA"/>
        </w:rPr>
        <w:t>规划范围内山体资源丰富，森林公园及其他旅游资源遍布其中，促进旅游业及服务业发展，增加旅游及服务业经济收入，符合渑池县“仰韶文化圣地、生态美丽渑池”的形象定位。同时，地质环境保护与治理恢复和</w:t>
      </w:r>
      <w:r>
        <w:rPr>
          <w:rFonts w:ascii="Times New Roman" w:hAnsi="Times New Roman" w:eastAsia="仿宋_GB2312" w:cs="Times New Roman"/>
          <w:sz w:val="24"/>
        </w:rPr>
        <w:t>土地整治等</w:t>
      </w:r>
      <w:r>
        <w:rPr>
          <w:rFonts w:ascii="Times New Roman" w:hAnsi="Times New Roman" w:eastAsia="仿宋_GB2312" w:cs="Times New Roman"/>
          <w:color w:val="auto"/>
          <w:sz w:val="24"/>
          <w:szCs w:val="22"/>
          <w:lang w:val="en-US" w:bidi="ar-SA"/>
        </w:rPr>
        <w:t>工程项目的实施需要大量原材料，可促进加工制造业、城市景观种植业等相关产业的发展。</w:t>
      </w:r>
    </w:p>
    <w:p>
      <w:pPr>
        <w:pStyle w:val="38"/>
        <w:ind w:firstLine="482" w:firstLineChars="200"/>
        <w:rPr>
          <w:rFonts w:ascii="Times New Roman" w:hAnsi="Times New Roman" w:eastAsia="仿宋_GB2312" w:cs="Times New Roman"/>
          <w:color w:val="auto"/>
          <w:sz w:val="24"/>
          <w:szCs w:val="22"/>
          <w:lang w:val="en-US" w:bidi="ar-SA"/>
        </w:rPr>
      </w:pPr>
      <w:r>
        <w:rPr>
          <w:rFonts w:ascii="Times New Roman" w:hAnsi="Times New Roman" w:eastAsia="仿宋_GB2312" w:cs="Times New Roman"/>
          <w:b/>
          <w:bCs/>
          <w:color w:val="auto"/>
          <w:sz w:val="24"/>
          <w:szCs w:val="22"/>
          <w:lang w:val="en-US" w:bidi="ar-SA"/>
        </w:rPr>
        <w:t>增加居民就业收入，促进经济稳步增长。</w:t>
      </w:r>
      <w:r>
        <w:rPr>
          <w:rFonts w:ascii="Times New Roman" w:hAnsi="Times New Roman" w:eastAsia="仿宋_GB2312" w:cs="Times New Roman"/>
          <w:color w:val="auto"/>
          <w:sz w:val="24"/>
          <w:szCs w:val="22"/>
          <w:lang w:val="en-US" w:bidi="ar-SA"/>
        </w:rPr>
        <w:t>河道综合治理项目、土保持及水土涵养林等项目需要大量劳动力与管理人员，不但缓解当地劳动力过剩矛盾，增加了就业岗位，对增加当地群众收入、促进消费带动经济发展具有重要意义。</w:t>
      </w:r>
    </w:p>
    <w:p>
      <w:pPr>
        <w:pStyle w:val="41"/>
        <w:spacing w:before="0" w:beforeAutospacing="0" w:after="0"/>
        <w:ind w:left="0" w:leftChars="0" w:firstLine="480"/>
        <w:rPr>
          <w:rFonts w:ascii="Times New Roman" w:hAnsi="Times New Roman" w:eastAsia="仿宋_GB2312" w:cs="Times New Roman"/>
          <w:color w:val="auto"/>
          <w:sz w:val="24"/>
          <w:szCs w:val="22"/>
        </w:rPr>
      </w:pPr>
      <w:r>
        <w:rPr>
          <w:rFonts w:ascii="Times New Roman" w:hAnsi="Times New Roman" w:eastAsia="仿宋_GB2312" w:cs="Times New Roman"/>
          <w:b/>
          <w:bCs/>
          <w:color w:val="auto"/>
          <w:sz w:val="24"/>
          <w:szCs w:val="22"/>
        </w:rPr>
        <w:t>优化经济运行环境，提高经济绿色含量。</w:t>
      </w:r>
      <w:r>
        <w:rPr>
          <w:rFonts w:ascii="Times New Roman" w:hAnsi="Times New Roman" w:eastAsia="仿宋_GB2312" w:cs="Times New Roman"/>
          <w:color w:val="auto"/>
          <w:sz w:val="24"/>
          <w:szCs w:val="22"/>
        </w:rPr>
        <w:t>通过山体保护相关工程的实施，既增加了当地居民收入，也带动了生态产品、生态旅游、生态服务等相关绿色产业的发展，促进地方经济、社会发展和环境改善的和谐统一，保障生产、生活和生态的永续发展。山体保护坚持山水林田湖草系统保护与协同治理，构建生态安全空间格局，提升黄河沿线生态环境品质，创新区域联动、绿色发展模式，探索县域经济高质量发展道路。</w:t>
      </w:r>
    </w:p>
    <w:p>
      <w:pPr>
        <w:pStyle w:val="2"/>
        <w:spacing w:line="360" w:lineRule="auto"/>
        <w:jc w:val="center"/>
        <w:rPr>
          <w:rFonts w:ascii="Times New Roman" w:hAnsi="Times New Roman" w:eastAsia="仿宋_GB2312" w:cs="Times New Roman"/>
          <w:sz w:val="30"/>
          <w:szCs w:val="30"/>
        </w:rPr>
      </w:pPr>
      <w:bookmarkStart w:id="57" w:name="_Toc154474123"/>
      <w:r>
        <w:rPr>
          <w:rFonts w:ascii="Times New Roman" w:hAnsi="Times New Roman" w:eastAsia="仿宋_GB2312" w:cs="Times New Roman"/>
          <w:sz w:val="30"/>
          <w:szCs w:val="30"/>
        </w:rPr>
        <w:t>第</w:t>
      </w:r>
      <w:r>
        <w:rPr>
          <w:rFonts w:hint="eastAsia" w:ascii="Times New Roman" w:hAnsi="Times New Roman" w:eastAsia="仿宋_GB2312" w:cs="Times New Roman"/>
          <w:sz w:val="30"/>
          <w:szCs w:val="30"/>
        </w:rPr>
        <w:t>六</w:t>
      </w:r>
      <w:r>
        <w:rPr>
          <w:rFonts w:ascii="Times New Roman" w:hAnsi="Times New Roman" w:eastAsia="仿宋_GB2312" w:cs="Times New Roman"/>
          <w:sz w:val="30"/>
          <w:szCs w:val="30"/>
        </w:rPr>
        <w:t>章</w:t>
      </w:r>
      <w:r>
        <w:rPr>
          <w:rFonts w:hint="eastAsia" w:ascii="Times New Roman" w:hAnsi="Times New Roman" w:eastAsia="仿宋_GB2312" w:cs="Times New Roman"/>
          <w:sz w:val="30"/>
          <w:szCs w:val="30"/>
        </w:rPr>
        <w:t xml:space="preserve"> </w:t>
      </w:r>
      <w:r>
        <w:rPr>
          <w:rFonts w:ascii="Times New Roman" w:hAnsi="Times New Roman" w:eastAsia="仿宋_GB2312" w:cs="Times New Roman"/>
          <w:sz w:val="30"/>
          <w:szCs w:val="30"/>
        </w:rPr>
        <w:t>保障措施</w:t>
      </w:r>
      <w:bookmarkEnd w:id="57"/>
    </w:p>
    <w:p>
      <w:pPr>
        <w:pStyle w:val="3"/>
        <w:jc w:val="center"/>
        <w:rPr>
          <w:rFonts w:ascii="Times New Roman" w:hAnsi="Times New Roman" w:eastAsia="仿宋_GB2312" w:cs="Times New Roman"/>
          <w:sz w:val="28"/>
          <w:szCs w:val="28"/>
        </w:rPr>
      </w:pPr>
      <w:bookmarkStart w:id="58" w:name="_Toc154474124"/>
      <w:r>
        <w:rPr>
          <w:rFonts w:hint="eastAsia" w:ascii="Times New Roman" w:hAnsi="Times New Roman" w:eastAsia="仿宋_GB2312" w:cs="Times New Roman"/>
          <w:sz w:val="28"/>
          <w:szCs w:val="28"/>
        </w:rPr>
        <w:t xml:space="preserve">第一节 </w:t>
      </w:r>
      <w:r>
        <w:rPr>
          <w:rFonts w:ascii="Times New Roman" w:hAnsi="Times New Roman" w:eastAsia="仿宋_GB2312" w:cs="Times New Roman"/>
          <w:sz w:val="28"/>
          <w:szCs w:val="28"/>
        </w:rPr>
        <w:t>加强组织领导，统筹山体保护</w:t>
      </w:r>
      <w:bookmarkEnd w:id="58"/>
    </w:p>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渑池县政府成立渑池县山长制工作领导小组，统筹推进山长制有关工作。各乡（镇）人民政府成立相应的工作机构，把推行山长制作为加强生态文明建设、促进渑池绿色崛起、实现渑池乡村振兴的重要举措，明确责任主体，制定本辖区山长制工作方案，推动山体保护管理措施落实到位。全面建立县、乡（镇）、村、宗地（村民组）四级山长组织体系，按照属地管理原则，各山体所在乡（镇）、村分级设立山长，各村以网格化和聘用的公益林护林员为基础设立专职巡山员。各职能部门要各司其职，积极配合，形成齐抓共管的强大合力，确保山长制各项目标如期实现。</w:t>
      </w:r>
      <w:bookmarkStart w:id="59" w:name="_Toc154474125"/>
    </w:p>
    <w:p>
      <w:pPr>
        <w:spacing w:line="360" w:lineRule="auto"/>
        <w:ind w:firstLine="562" w:firstLineChars="200"/>
        <w:jc w:val="center"/>
        <w:rPr>
          <w:rFonts w:hint="eastAsia" w:ascii="Times New Roman" w:hAnsi="Times New Roman" w:eastAsia="仿宋_GB2312" w:cs="Times New Roman"/>
          <w:b/>
          <w:bCs/>
          <w:sz w:val="28"/>
          <w:szCs w:val="28"/>
        </w:rPr>
      </w:pPr>
    </w:p>
    <w:p>
      <w:pPr>
        <w:spacing w:line="360" w:lineRule="auto"/>
        <w:ind w:firstLine="562" w:firstLineChars="200"/>
        <w:jc w:val="center"/>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 xml:space="preserve">第二节 </w:t>
      </w:r>
      <w:r>
        <w:rPr>
          <w:rFonts w:ascii="Times New Roman" w:hAnsi="Times New Roman" w:eastAsia="仿宋_GB2312" w:cs="Times New Roman"/>
          <w:b/>
          <w:bCs/>
          <w:sz w:val="28"/>
          <w:szCs w:val="28"/>
        </w:rPr>
        <w:t>合理筹划预算，强化经费保障</w:t>
      </w:r>
      <w:bookmarkEnd w:id="59"/>
    </w:p>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为确保山长制工作有序推进，</w:t>
      </w:r>
      <w:r>
        <w:rPr>
          <w:rFonts w:hint="eastAsia" w:ascii="Times New Roman" w:hAnsi="Times New Roman" w:cs="Times New Roman"/>
          <w:kern w:val="0"/>
          <w:sz w:val="24"/>
          <w:szCs w:val="24"/>
        </w:rPr>
        <w:t>将山体保护工作</w:t>
      </w:r>
      <w:r>
        <w:rPr>
          <w:rFonts w:ascii="Times New Roman" w:hAnsi="Times New Roman" w:cs="Times New Roman"/>
          <w:kern w:val="0"/>
          <w:sz w:val="24"/>
          <w:szCs w:val="24"/>
        </w:rPr>
        <w:t>经费</w:t>
      </w:r>
      <w:r>
        <w:rPr>
          <w:rFonts w:hint="eastAsia" w:ascii="Times New Roman" w:hAnsi="Times New Roman" w:cs="Times New Roman"/>
          <w:kern w:val="0"/>
          <w:sz w:val="24"/>
          <w:szCs w:val="24"/>
        </w:rPr>
        <w:t>纳入国民经济和社会发展规划，落实责任和经费</w:t>
      </w:r>
      <w:r>
        <w:rPr>
          <w:rFonts w:ascii="Times New Roman" w:hAnsi="Times New Roman" w:cs="Times New Roman"/>
          <w:kern w:val="0"/>
          <w:sz w:val="24"/>
          <w:szCs w:val="24"/>
        </w:rPr>
        <w:t>。统筹安排信息员，每一宗山体按照规划设计，合理安排信息员为宗地管护员。各有关部门要积极争取国家、省项目支持，多渠道筹措山体修复和保护资金。</w:t>
      </w:r>
    </w:p>
    <w:p>
      <w:pPr>
        <w:pStyle w:val="3"/>
        <w:jc w:val="center"/>
        <w:rPr>
          <w:rFonts w:ascii="Times New Roman" w:hAnsi="Times New Roman" w:eastAsia="仿宋_GB2312" w:cs="Times New Roman"/>
          <w:sz w:val="28"/>
          <w:szCs w:val="28"/>
        </w:rPr>
      </w:pPr>
      <w:bookmarkStart w:id="60" w:name="_Toc154474126"/>
      <w:r>
        <w:rPr>
          <w:rFonts w:hint="eastAsia" w:ascii="Times New Roman" w:hAnsi="Times New Roman" w:eastAsia="仿宋_GB2312" w:cs="Times New Roman"/>
          <w:sz w:val="28"/>
          <w:szCs w:val="28"/>
        </w:rPr>
        <w:t xml:space="preserve">第三节 </w:t>
      </w:r>
      <w:r>
        <w:rPr>
          <w:rFonts w:ascii="Times New Roman" w:hAnsi="Times New Roman" w:eastAsia="仿宋_GB2312" w:cs="Times New Roman"/>
          <w:sz w:val="28"/>
          <w:szCs w:val="28"/>
        </w:rPr>
        <w:t>开展专项督查，严格监督考核</w:t>
      </w:r>
      <w:bookmarkEnd w:id="60"/>
    </w:p>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渑池县政府适时组织开展山长制实施情况专项督查，并将山长制推行情况、督查意见整改情况、山体保护效果纳入对乡（镇）政府和县直有关单位年度目标责任制考核体系，具体考核工作由县山长制办公室负责组织实施。建立问责机制，年度考核不合格的，必须制定整改措施，限期整改到位；对整改不合格的，由总山长进行约谈，并对相关责任人进行问责；对因失职渎职导致山体资源环境遭受严重破坏的，由纪检监察机关依纪依规进行问责。</w:t>
      </w:r>
    </w:p>
    <w:p>
      <w:pPr>
        <w:pStyle w:val="3"/>
        <w:jc w:val="center"/>
        <w:rPr>
          <w:rFonts w:ascii="Times New Roman" w:hAnsi="Times New Roman" w:eastAsia="仿宋_GB2312" w:cs="Times New Roman"/>
          <w:sz w:val="28"/>
          <w:szCs w:val="28"/>
        </w:rPr>
      </w:pPr>
      <w:bookmarkStart w:id="61" w:name="_Toc154474127"/>
      <w:r>
        <w:rPr>
          <w:rFonts w:hint="eastAsia" w:ascii="Times New Roman" w:hAnsi="Times New Roman" w:eastAsia="仿宋_GB2312" w:cs="Times New Roman"/>
          <w:sz w:val="28"/>
          <w:szCs w:val="28"/>
        </w:rPr>
        <w:t xml:space="preserve">第四节 </w:t>
      </w:r>
      <w:r>
        <w:rPr>
          <w:rFonts w:ascii="Times New Roman" w:hAnsi="Times New Roman" w:eastAsia="仿宋_GB2312" w:cs="Times New Roman"/>
          <w:sz w:val="28"/>
          <w:szCs w:val="28"/>
        </w:rPr>
        <w:t>落实法律责任，依法保护山体</w:t>
      </w:r>
      <w:bookmarkEnd w:id="61"/>
    </w:p>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严格管控山体的开发利用。健全山体保护相关法律法规，加强对非法采矿、乱挖乱采行为的监管，强化对破坏山体行为的威慑作用，坚决执行《三门峡市山体保护条例》等法律法规，对于负有山体保护监督管理职责的单位和个人，应当积极履行保护职责；对于破坏山体情节严重的，对直接负责的主管人员和其他直接责任人员依法给予处分；构成犯罪的依法追究刑事责任。</w:t>
      </w:r>
    </w:p>
    <w:p>
      <w:pPr>
        <w:pStyle w:val="3"/>
        <w:jc w:val="center"/>
        <w:rPr>
          <w:rFonts w:ascii="Times New Roman" w:hAnsi="Times New Roman" w:eastAsia="仿宋_GB2312" w:cs="Times New Roman"/>
          <w:sz w:val="28"/>
          <w:szCs w:val="28"/>
        </w:rPr>
      </w:pPr>
      <w:bookmarkStart w:id="62" w:name="_Toc154474128"/>
      <w:r>
        <w:rPr>
          <w:rFonts w:hint="eastAsia" w:ascii="Times New Roman" w:hAnsi="Times New Roman" w:eastAsia="仿宋_GB2312" w:cs="Times New Roman"/>
          <w:sz w:val="28"/>
          <w:szCs w:val="28"/>
        </w:rPr>
        <w:t xml:space="preserve">第五节 </w:t>
      </w:r>
      <w:r>
        <w:rPr>
          <w:rFonts w:ascii="Times New Roman" w:hAnsi="Times New Roman" w:eastAsia="仿宋_GB2312" w:cs="Times New Roman"/>
          <w:sz w:val="28"/>
          <w:szCs w:val="28"/>
        </w:rPr>
        <w:t>加强宣传引导，营造良好氛围</w:t>
      </w:r>
      <w:bookmarkEnd w:id="62"/>
    </w:p>
    <w:p>
      <w:pPr>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各有关部门要充分发挥新闻媒体的舆论引导和监督作用，广泛宣传实施山长制的重要意义，宣传生态文化，拓宽公众参与渠道，提高群众知晓率和参与率，营造全社会共同关心和保护生态环境的良好氛围，增强公众保护山体生态环境意识。设立保护山体边界标识、宗地责任牌，通过媒体或在责任区公布宗地山长名单、职责、联系电话，广泛接受社会监督。建立有奖举报制度，及时制止和检举破坏山体的行为，对经核实举报属实者给予一定资金奖励。</w:t>
      </w:r>
    </w:p>
    <w:p>
      <w:pPr>
        <w:rPr>
          <w:rFonts w:ascii="Times New Roman" w:hAnsi="Times New Roman" w:cs="Times New Roman"/>
        </w:rPr>
      </w:pPr>
    </w:p>
    <w:p>
      <w:pPr>
        <w:pStyle w:val="2"/>
        <w:spacing w:line="360" w:lineRule="auto"/>
        <w:jc w:val="left"/>
        <w:rPr>
          <w:rFonts w:ascii="仿宋_GB2312" w:hAnsi="仿宋_GB2312" w:eastAsia="仿宋_GB2312"/>
          <w:sz w:val="30"/>
          <w:szCs w:val="30"/>
        </w:rPr>
      </w:pPr>
      <w:bookmarkStart w:id="63" w:name="_Toc131750852"/>
      <w:bookmarkStart w:id="64" w:name="_Toc153456090"/>
      <w:r>
        <w:rPr>
          <w:rFonts w:hint="eastAsia" w:ascii="仿宋_GB2312" w:hAnsi="仿宋_GB2312" w:eastAsia="仿宋_GB2312"/>
          <w:sz w:val="30"/>
          <w:szCs w:val="30"/>
        </w:rPr>
        <w:t>附表1</w:t>
      </w:r>
      <w:r>
        <w:rPr>
          <w:rFonts w:ascii="仿宋_GB2312" w:hAnsi="仿宋_GB2312" w:eastAsia="仿宋_GB2312"/>
          <w:sz w:val="30"/>
          <w:szCs w:val="30"/>
        </w:rPr>
        <w:t xml:space="preserve">  </w:t>
      </w:r>
      <w:r>
        <w:rPr>
          <w:rFonts w:hint="eastAsia" w:ascii="仿宋_GB2312" w:hAnsi="仿宋_GB2312" w:eastAsia="仿宋_GB2312"/>
          <w:sz w:val="30"/>
          <w:szCs w:val="30"/>
        </w:rPr>
        <w:t>渑池县</w:t>
      </w:r>
      <w:bookmarkEnd w:id="63"/>
      <w:r>
        <w:rPr>
          <w:rFonts w:hint="eastAsia" w:ascii="仿宋_GB2312" w:hAnsi="仿宋_GB2312" w:eastAsia="仿宋_GB2312"/>
          <w:sz w:val="30"/>
          <w:szCs w:val="30"/>
        </w:rPr>
        <w:t>山体重点保护名录</w:t>
      </w:r>
      <w:bookmarkEnd w:id="64"/>
    </w:p>
    <w:tbl>
      <w:tblPr>
        <w:tblStyle w:val="19"/>
        <w:tblW w:w="9599" w:type="dxa"/>
        <w:jc w:val="center"/>
        <w:tblLayout w:type="fixed"/>
        <w:tblCellMar>
          <w:top w:w="0" w:type="dxa"/>
          <w:left w:w="108" w:type="dxa"/>
          <w:bottom w:w="0" w:type="dxa"/>
          <w:right w:w="108" w:type="dxa"/>
        </w:tblCellMar>
      </w:tblPr>
      <w:tblGrid>
        <w:gridCol w:w="1129"/>
        <w:gridCol w:w="1134"/>
        <w:gridCol w:w="1134"/>
        <w:gridCol w:w="2268"/>
        <w:gridCol w:w="1134"/>
        <w:gridCol w:w="2800"/>
      </w:tblGrid>
      <w:tr>
        <w:tblPrEx>
          <w:tblCellMar>
            <w:top w:w="0" w:type="dxa"/>
            <w:left w:w="108" w:type="dxa"/>
            <w:bottom w:w="0" w:type="dxa"/>
            <w:right w:w="108" w:type="dxa"/>
          </w:tblCellMar>
        </w:tblPrEx>
        <w:trPr>
          <w:trHeight w:val="264" w:hRule="atLeast"/>
          <w:tblHeader/>
          <w:jc w:val="center"/>
        </w:trPr>
        <w:tc>
          <w:tcPr>
            <w:tcW w:w="11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县级山体</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乡级山体</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村级山体</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山体编号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山体面积（公顷）</w:t>
            </w:r>
          </w:p>
        </w:tc>
        <w:tc>
          <w:tcPr>
            <w:tcW w:w="2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bookmarkStart w:id="65" w:name="_Hlk137133146"/>
            <w:r>
              <w:rPr>
                <w:rFonts w:ascii="Times New Roman" w:hAnsi="Times New Roman" w:cs="Times New Roman"/>
                <w:kern w:val="0"/>
                <w:sz w:val="21"/>
                <w:szCs w:val="21"/>
              </w:rPr>
              <w:t>重点保护</w:t>
            </w:r>
            <w:bookmarkEnd w:id="65"/>
            <w:r>
              <w:rPr>
                <w:rFonts w:ascii="Times New Roman" w:hAnsi="Times New Roman" w:cs="Times New Roman"/>
                <w:kern w:val="0"/>
                <w:sz w:val="21"/>
                <w:szCs w:val="21"/>
              </w:rPr>
              <w:t>内容</w:t>
            </w:r>
          </w:p>
        </w:tc>
      </w:tr>
      <w:tr>
        <w:tblPrEx>
          <w:tblCellMar>
            <w:top w:w="0" w:type="dxa"/>
            <w:left w:w="108" w:type="dxa"/>
            <w:bottom w:w="0" w:type="dxa"/>
            <w:right w:w="108" w:type="dxa"/>
          </w:tblCellMar>
        </w:tblPrEx>
        <w:trPr>
          <w:trHeight w:val="264" w:hRule="atLeast"/>
          <w:jc w:val="center"/>
        </w:trPr>
        <w:tc>
          <w:tcPr>
            <w:tcW w:w="112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岱嵋山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岱嵋山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岱嵋山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1755.55</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江树洼山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4112212102072000002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182.59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坡山头</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4112212102072000004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705.30</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bookmarkStart w:id="66" w:name="_Hlk137115563"/>
            <w:r>
              <w:rPr>
                <w:rFonts w:ascii="Times New Roman" w:hAnsi="Times New Roman" w:cs="Times New Roman"/>
                <w:kern w:val="0"/>
                <w:sz w:val="21"/>
                <w:szCs w:val="21"/>
              </w:rPr>
              <w:t>河南黄河湿地国家级自然保护区</w:t>
            </w:r>
            <w:bookmarkEnd w:id="66"/>
            <w:r>
              <w:rPr>
                <w:rFonts w:ascii="Times New Roman" w:hAnsi="Times New Roman" w:cs="Times New Roman"/>
                <w:kern w:val="0"/>
                <w:sz w:val="21"/>
                <w:szCs w:val="21"/>
              </w:rPr>
              <w:t>、生态保护红线、地质公园、矿山环境问题区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青山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柏树疙瘩</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270.94</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桓王山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222.47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回家山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148.94</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涧口山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4112212102002000002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35.29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青山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4112212102032000002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491.23</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黄河、生态保护红线、主要道路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水岭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4112212102052000002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87.25</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扣门山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扣门山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屈家山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4112212072102000001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750.81</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黄河、生态保护红线、饮用水水源一级保护区、地质灾害、矿山环境问题区</w:t>
            </w:r>
          </w:p>
        </w:tc>
      </w:tr>
      <w:tr>
        <w:tblPrEx>
          <w:tblCellMar>
            <w:top w:w="0" w:type="dxa"/>
            <w:left w:w="108" w:type="dxa"/>
            <w:bottom w:w="0" w:type="dxa"/>
            <w:right w:w="108" w:type="dxa"/>
          </w:tblCellMar>
        </w:tblPrEx>
        <w:trPr>
          <w:trHeight w:val="264" w:hRule="atLeast"/>
          <w:jc w:val="center"/>
        </w:trPr>
        <w:tc>
          <w:tcPr>
            <w:tcW w:w="112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韶山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方山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峰岭寺山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4112212032132000001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923.53</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红里山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4112212032072000001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547.67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马坡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4112212032102000002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109.62</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寺大顶</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4112212032132000002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731.29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木兰山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红沙驼</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4112212032062000001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437.15</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轿顶山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4112212032062000002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626.98</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木兰山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4112212032062000005</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310.15</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泥池圪塔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281.33</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坡寨</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4112212032052000002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220.46</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水鱼山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4112212032052000003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594.67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雾顶山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4112212032062000004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319.00</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竹园沟</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4112212032062000003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211.98</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生态保护红线、饮用水水源一级保护区、矿山环境问题区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韶山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方山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4112211052092000001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439.64</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侯家山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4112211052092000002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395.51</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4112211052092000003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1032.51</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生态保护红线、地质公园、主要道路、矿山环境问题区</w:t>
            </w:r>
          </w:p>
        </w:tc>
      </w:tr>
      <w:tr>
        <w:tblPrEx>
          <w:tblCellMar>
            <w:top w:w="0" w:type="dxa"/>
            <w:left w:w="108" w:type="dxa"/>
            <w:bottom w:w="0" w:type="dxa"/>
            <w:right w:w="108" w:type="dxa"/>
          </w:tblCellMar>
        </w:tblPrEx>
        <w:trPr>
          <w:trHeight w:val="264" w:hRule="atLeast"/>
          <w:jc w:val="center"/>
        </w:trPr>
        <w:tc>
          <w:tcPr>
            <w:tcW w:w="112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万古山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凤凰山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东汪坟山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4112212082042000001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777.64</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乱石岭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4112212082032000001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189.67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南山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4112212082122000001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2045.87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梁山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白羊山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4112212082142000001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3678.57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吊山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4112212082162000001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1608.66</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黄河、生态保护红线、地质公园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万古山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上家山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4112212082152000001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1672.39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万古山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4112212082132000002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1519.17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香炉山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峰山寨</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东杨树沟山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4112212092072000001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22.07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矿山环境问题区、主要道路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后庙岭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4112212092072000002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518.61</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李家岭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4112212092072000003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498.22</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生态保护红线、地质公园、主要道路、矿山环境问题区</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西杨树沟山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4112212092002000002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115.00</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饮用水水源一级保护区、主要道路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伏虎山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于家岭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449.56</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中朝山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4112212092042000002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265.77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关爷山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关爷山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1123.24</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生态保护红线、地质公园、主要道路、地质灾害</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后安山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4112212092082000002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775.19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生态保护红线、地质公园、主要道路、地质灾害</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磨盘山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4112212092082000003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69.07</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坡池岭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4112212092082000004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1134.53</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生态保护红线、地质公园、主要道路、地质灾害</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上岭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501.22</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许家山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4112212092082000005</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703.29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烟地山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4112212092102000002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860.76</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香炉山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南岭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1132.79</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十八庵</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4112212092112000002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916.44</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石道坡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4112212092062000002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386.93</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主要道路、地质灾害</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香炉山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4112212092092000002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665.15</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生态保护红线、地质公园、主要道路</w:t>
            </w:r>
          </w:p>
        </w:tc>
      </w:tr>
      <w:tr>
        <w:tblPrEx>
          <w:tblCellMar>
            <w:top w:w="0" w:type="dxa"/>
            <w:left w:w="108" w:type="dxa"/>
            <w:bottom w:w="0" w:type="dxa"/>
            <w:right w:w="108" w:type="dxa"/>
          </w:tblCellMar>
        </w:tblPrEx>
        <w:trPr>
          <w:trHeight w:val="264" w:hRule="atLeast"/>
          <w:jc w:val="center"/>
        </w:trPr>
        <w:tc>
          <w:tcPr>
            <w:tcW w:w="112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羊园山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4112212092092000003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650.03</w:t>
            </w:r>
          </w:p>
        </w:tc>
        <w:tc>
          <w:tcPr>
            <w:tcW w:w="280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s="Times New Roman"/>
                <w:kern w:val="0"/>
                <w:sz w:val="21"/>
                <w:szCs w:val="21"/>
              </w:rPr>
            </w:pPr>
            <w:r>
              <w:rPr>
                <w:rFonts w:ascii="Times New Roman" w:hAnsi="Times New Roman" w:cs="Times New Roman"/>
                <w:kern w:val="0"/>
                <w:sz w:val="21"/>
                <w:szCs w:val="21"/>
              </w:rPr>
              <w:t>生态保护红线、地质公园、地质灾害</w:t>
            </w:r>
          </w:p>
        </w:tc>
      </w:tr>
    </w:tbl>
    <w:p>
      <w:pPr>
        <w:pStyle w:val="2"/>
        <w:spacing w:line="360" w:lineRule="auto"/>
        <w:jc w:val="left"/>
        <w:rPr>
          <w:rFonts w:ascii="仿宋_GB2312" w:hAnsi="仿宋_GB2312" w:eastAsia="仿宋_GB2312"/>
          <w:sz w:val="30"/>
          <w:szCs w:val="30"/>
        </w:rPr>
      </w:pPr>
      <w:bookmarkStart w:id="67" w:name="_Toc153456091"/>
      <w:r>
        <w:rPr>
          <w:rFonts w:hint="eastAsia" w:ascii="仿宋_GB2312" w:hAnsi="仿宋_GB2312" w:eastAsia="仿宋_GB2312"/>
          <w:sz w:val="30"/>
          <w:szCs w:val="30"/>
        </w:rPr>
        <w:t>附表</w:t>
      </w:r>
      <w:r>
        <w:rPr>
          <w:rFonts w:ascii="仿宋_GB2312" w:hAnsi="仿宋_GB2312" w:eastAsia="仿宋_GB2312"/>
          <w:sz w:val="30"/>
          <w:szCs w:val="30"/>
        </w:rPr>
        <w:t xml:space="preserve">2  </w:t>
      </w:r>
      <w:r>
        <w:rPr>
          <w:rFonts w:hint="eastAsia" w:ascii="仿宋_GB2312" w:hAnsi="仿宋_GB2312" w:eastAsia="仿宋_GB2312"/>
          <w:sz w:val="30"/>
          <w:szCs w:val="30"/>
        </w:rPr>
        <w:t>渑池县山体一般保护名录</w:t>
      </w:r>
      <w:bookmarkEnd w:id="67"/>
    </w:p>
    <w:tbl>
      <w:tblPr>
        <w:tblStyle w:val="19"/>
        <w:tblW w:w="9498" w:type="dxa"/>
        <w:tblInd w:w="-714" w:type="dxa"/>
        <w:tblLayout w:type="fixed"/>
        <w:tblCellMar>
          <w:top w:w="0" w:type="dxa"/>
          <w:left w:w="108" w:type="dxa"/>
          <w:bottom w:w="0" w:type="dxa"/>
          <w:right w:w="108" w:type="dxa"/>
        </w:tblCellMar>
      </w:tblPr>
      <w:tblGrid>
        <w:gridCol w:w="1135"/>
        <w:gridCol w:w="1134"/>
        <w:gridCol w:w="1134"/>
        <w:gridCol w:w="2268"/>
        <w:gridCol w:w="1134"/>
        <w:gridCol w:w="2693"/>
      </w:tblGrid>
      <w:tr>
        <w:tblPrEx>
          <w:tblCellMar>
            <w:top w:w="0" w:type="dxa"/>
            <w:left w:w="108" w:type="dxa"/>
            <w:bottom w:w="0" w:type="dxa"/>
            <w:right w:w="108" w:type="dxa"/>
          </w:tblCellMar>
        </w:tblPrEx>
        <w:trPr>
          <w:trHeight w:val="264" w:hRule="atLeast"/>
          <w:tblHeader/>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县级山体</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乡级山体</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村级山体</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山体编号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山体面积（公顷）</w:t>
            </w:r>
          </w:p>
        </w:tc>
        <w:tc>
          <w:tcPr>
            <w:tcW w:w="26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仿宋_GB2312" w:cs="Arial"/>
                <w:kern w:val="0"/>
                <w:sz w:val="21"/>
                <w:szCs w:val="21"/>
              </w:rPr>
            </w:pPr>
            <w:r>
              <w:rPr>
                <w:rFonts w:hint="eastAsia" w:ascii="仿宋_GB2312" w:hAnsi="仿宋_GB2312" w:cs="Arial"/>
                <w:kern w:val="0"/>
                <w:sz w:val="21"/>
                <w:szCs w:val="21"/>
              </w:rPr>
              <w:t>保护范围</w:t>
            </w:r>
          </w:p>
        </w:tc>
      </w:tr>
      <w:tr>
        <w:tblPrEx>
          <w:tblCellMar>
            <w:top w:w="0" w:type="dxa"/>
            <w:left w:w="108" w:type="dxa"/>
            <w:bottom w:w="0" w:type="dxa"/>
            <w:right w:w="108" w:type="dxa"/>
          </w:tblCellMar>
        </w:tblPrEx>
        <w:trPr>
          <w:trHeight w:val="288" w:hRule="atLeast"/>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岱嵋山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岱嵋山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东冷山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4112212102092000001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454.17</w:t>
            </w:r>
          </w:p>
        </w:tc>
        <w:tc>
          <w:tcPr>
            <w:tcW w:w="2693" w:type="dxa"/>
            <w:tcBorders>
              <w:top w:val="nil"/>
              <w:left w:val="nil"/>
              <w:bottom w:val="single" w:color="auto" w:sz="4" w:space="0"/>
              <w:right w:val="single" w:color="auto" w:sz="4" w:space="0"/>
            </w:tcBorders>
            <w:shd w:val="clear" w:color="auto" w:fill="auto"/>
            <w:noWrap/>
            <w:vAlign w:val="center"/>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汗坡岭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4112212102072000001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250.92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后坡岭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4112212102062000001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280.21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槐树岭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4112212102072000003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675.28</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石头圪塔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4112212102092000002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622.25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铁圪塔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4112212102062000002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381.72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青山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半坡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316.47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段峪山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385.48</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桃花岭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4112212102082000002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549.84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扣门山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黑虎庙山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曹窑山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4112211022102000001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84.37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关家底山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4112211022082000001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242.64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黑虎庙山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4112211022092000001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177.63</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袁家岭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4112211022112000001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687.52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扣门山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白浪山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4112212072092000001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168.20</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闯山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555.21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和观扒山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227.02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红土岭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4112212072072000001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661.38</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后李山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109.01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胡树岭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4112212072072000002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526.56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火烟沟山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4112212072062000001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112.14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栗树沟山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4112212072062000002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217.70</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芦花岭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4112212072092000002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489.67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罗家山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4112212072082000002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837.20</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石板山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4112212072042000001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147.73</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鹿抬头山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东段山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4112211012112000001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146.07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上梁坡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4112211012112000002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477.54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周家山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4112211012102000001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96.08</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韶山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方山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白土坡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4112210290152000001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495.14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北坻坞山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172.27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北发科岭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141.26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岚山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352.45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雷雁坡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4112212032082000002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168.83</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孟家坡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4112212032122000001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170.05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南发科岭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4112212032142000002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88.37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七峰山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4112212032092000001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327.45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前岭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82.86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石庙后</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4112212032122000002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273.66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石山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4112212032072000002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441.95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柿岭沟</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4112212032102000003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52.11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燕眉山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4112212032092000002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189.95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长岭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4112212032092000003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240.17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长岭东坡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4112212032102000004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24.94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马头崖</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德厚山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34.01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黑龙山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396.42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火石坡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656.62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鸡头山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4112211032012000002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225.15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雷沟山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4112211032062000001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194.94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裴家圪塔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79.82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上洪阳山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4112211032072000001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70.93</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石门里山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304.59</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石盆山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4112211032022000001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134.41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宋家山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218.88</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台子坡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4112211032132000001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155.26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崤店山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4112211032122000001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29.53</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岳家坡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4112211032052000002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536.74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木兰山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二仙山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4112212032022000001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103.44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槐圪塔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171.31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火神庙山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4112212032002000002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322.46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露水源</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4112212032022000002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175.71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上家坡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4112212032042000001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397.96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武岭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4112212032042000002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253.47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西崖</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4112212032022000003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183.66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张村山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4112212032012000001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248.80</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韶山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飞山寨</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4112211052102000001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4.51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甘涧山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4112211052082000001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89.02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尖圪塔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4112211052112000001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8.55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万古山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凤凰山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房山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4112212082082000001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481.68</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关地坡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4112212082002000001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139.85</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关地西坡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4112212082002000002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153.92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老虎圪塔</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4112212082052000001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242.24</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牛脖岭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4112212082052000002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59.97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前瑶坡</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4112212082112000001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781.71</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汪坟山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4112212082042000002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829.52</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万古山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三架山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4112212082132000001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802.87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香炉山</w:t>
            </w: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峰山寨</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峰山寨</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4112212092032000001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403.36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寺山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4112212092072000004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670.46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西坡岭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4112212092002000001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833.29</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伏虎山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姬家山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4112212092012000001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2670.76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吉家岭</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4112212092022000001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1093.87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牙山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4112212092012000002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651.46</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香炉山</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北山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4112212092062000001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862.87</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r>
        <w:tblPrEx>
          <w:tblCellMar>
            <w:top w:w="0" w:type="dxa"/>
            <w:left w:w="108" w:type="dxa"/>
            <w:bottom w:w="0" w:type="dxa"/>
            <w:right w:w="108" w:type="dxa"/>
          </w:tblCellMar>
        </w:tblPrEx>
        <w:trPr>
          <w:trHeight w:val="288" w:hRule="atLeast"/>
        </w:trPr>
        <w:tc>
          <w:tcPr>
            <w:tcW w:w="113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下黄顶山</w:t>
            </w:r>
          </w:p>
        </w:tc>
        <w:tc>
          <w:tcPr>
            <w:tcW w:w="226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4112212092092000001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1072.00</w:t>
            </w:r>
          </w:p>
        </w:tc>
        <w:tc>
          <w:tcPr>
            <w:tcW w:w="2693" w:type="dxa"/>
            <w:tcBorders>
              <w:top w:val="nil"/>
              <w:left w:val="nil"/>
              <w:bottom w:val="single" w:color="auto" w:sz="4" w:space="0"/>
              <w:right w:val="single" w:color="auto" w:sz="4" w:space="0"/>
            </w:tcBorders>
            <w:shd w:val="clear" w:color="auto" w:fill="auto"/>
            <w:noWrap/>
          </w:tcPr>
          <w:p>
            <w:pPr>
              <w:widowControl/>
              <w:tabs>
                <w:tab w:val="left" w:pos="1734"/>
              </w:tabs>
              <w:ind w:leftChars="-39" w:hanging="109" w:hangingChars="52"/>
              <w:jc w:val="center"/>
              <w:rPr>
                <w:rFonts w:ascii="Times New Roman" w:hAnsi="Times New Roman" w:eastAsia="宋体" w:cs="Times New Roman"/>
                <w:kern w:val="0"/>
                <w:sz w:val="21"/>
                <w:szCs w:val="21"/>
              </w:rPr>
            </w:pPr>
            <w:r>
              <w:rPr>
                <w:rFonts w:hint="eastAsia" w:ascii="仿宋_GB2312" w:hAnsi="仿宋_GB2312" w:cs="Times New Roman"/>
                <w:kern w:val="0"/>
                <w:sz w:val="21"/>
                <w:szCs w:val="21"/>
              </w:rPr>
              <w:t>耕地、园地范围内</w:t>
            </w:r>
          </w:p>
        </w:tc>
      </w:tr>
    </w:tbl>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pStyle w:val="2"/>
        <w:spacing w:line="360" w:lineRule="auto"/>
        <w:jc w:val="left"/>
        <w:rPr>
          <w:rFonts w:ascii="仿宋_GB2312" w:hAnsi="仿宋_GB2312" w:eastAsia="仿宋_GB2312"/>
          <w:sz w:val="30"/>
          <w:szCs w:val="30"/>
        </w:rPr>
        <w:sectPr>
          <w:footerReference r:id="rId3" w:type="default"/>
          <w:pgSz w:w="11906" w:h="16838"/>
          <w:pgMar w:top="1440" w:right="1800" w:bottom="1440" w:left="1800" w:header="851" w:footer="992" w:gutter="0"/>
          <w:pgNumType w:start="1"/>
          <w:cols w:space="425" w:num="1"/>
          <w:docGrid w:type="lines" w:linePitch="312" w:charSpace="0"/>
        </w:sectPr>
      </w:pPr>
    </w:p>
    <w:p>
      <w:pPr>
        <w:pStyle w:val="2"/>
        <w:spacing w:line="360" w:lineRule="auto"/>
        <w:jc w:val="left"/>
        <w:rPr>
          <w:rFonts w:ascii="仿宋_GB2312" w:hAnsi="仿宋_GB2312" w:eastAsia="仿宋_GB2312"/>
          <w:sz w:val="30"/>
          <w:szCs w:val="30"/>
        </w:rPr>
      </w:pPr>
      <w:bookmarkStart w:id="68" w:name="_Toc153456092"/>
      <w:r>
        <w:rPr>
          <w:rFonts w:hint="eastAsia" w:ascii="仿宋_GB2312" w:hAnsi="仿宋_GB2312" w:eastAsia="仿宋_GB2312"/>
          <w:sz w:val="30"/>
          <w:szCs w:val="30"/>
        </w:rPr>
        <w:t>附表</w:t>
      </w:r>
      <w:r>
        <w:rPr>
          <w:rFonts w:ascii="仿宋_GB2312" w:hAnsi="仿宋_GB2312" w:eastAsia="仿宋_GB2312"/>
          <w:sz w:val="30"/>
          <w:szCs w:val="30"/>
        </w:rPr>
        <w:t xml:space="preserve">3  </w:t>
      </w:r>
      <w:r>
        <w:rPr>
          <w:rFonts w:hint="eastAsia" w:ascii="仿宋_GB2312" w:hAnsi="仿宋_GB2312" w:eastAsia="仿宋_GB2312"/>
          <w:sz w:val="30"/>
          <w:szCs w:val="30"/>
        </w:rPr>
        <w:t>山体保护规划重点工程表</w:t>
      </w:r>
      <w:bookmarkEnd w:id="68"/>
    </w:p>
    <w:tbl>
      <w:tblPr>
        <w:tblStyle w:val="19"/>
        <w:tblW w:w="5000" w:type="pct"/>
        <w:tblInd w:w="0" w:type="dxa"/>
        <w:tblLayout w:type="autofit"/>
        <w:tblCellMar>
          <w:top w:w="0" w:type="dxa"/>
          <w:left w:w="108" w:type="dxa"/>
          <w:bottom w:w="0" w:type="dxa"/>
          <w:right w:w="108" w:type="dxa"/>
        </w:tblCellMar>
      </w:tblPr>
      <w:tblGrid>
        <w:gridCol w:w="1630"/>
        <w:gridCol w:w="737"/>
        <w:gridCol w:w="2563"/>
        <w:gridCol w:w="3144"/>
        <w:gridCol w:w="1078"/>
        <w:gridCol w:w="5022"/>
      </w:tblGrid>
      <w:tr>
        <w:tblPrEx>
          <w:tblCellMar>
            <w:top w:w="0" w:type="dxa"/>
            <w:left w:w="108" w:type="dxa"/>
            <w:bottom w:w="0" w:type="dxa"/>
            <w:right w:w="108" w:type="dxa"/>
          </w:tblCellMar>
        </w:tblPrEx>
        <w:trPr>
          <w:trHeight w:val="288" w:hRule="atLeast"/>
          <w:tblHeader/>
        </w:trPr>
        <w:tc>
          <w:tcPr>
            <w:tcW w:w="57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bCs/>
                <w:kern w:val="0"/>
                <w:sz w:val="21"/>
                <w:szCs w:val="21"/>
              </w:rPr>
            </w:pPr>
            <w:r>
              <w:rPr>
                <w:rFonts w:hint="eastAsia" w:ascii="仿宋_GB2312" w:hAnsi="Times New Roman" w:cs="Times New Roman"/>
                <w:b/>
                <w:bCs/>
                <w:kern w:val="0"/>
                <w:sz w:val="21"/>
                <w:szCs w:val="21"/>
              </w:rPr>
              <w:t>工程类型</w:t>
            </w:r>
          </w:p>
        </w:tc>
        <w:tc>
          <w:tcPr>
            <w:tcW w:w="26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bCs/>
                <w:kern w:val="0"/>
                <w:sz w:val="21"/>
                <w:szCs w:val="21"/>
              </w:rPr>
            </w:pPr>
            <w:r>
              <w:rPr>
                <w:rFonts w:hint="eastAsia" w:ascii="仿宋_GB2312" w:hAnsi="Times New Roman" w:cs="Times New Roman"/>
                <w:b/>
                <w:bCs/>
                <w:kern w:val="0"/>
                <w:sz w:val="21"/>
                <w:szCs w:val="21"/>
              </w:rPr>
              <w:t>序号</w:t>
            </w:r>
          </w:p>
        </w:tc>
        <w:tc>
          <w:tcPr>
            <w:tcW w:w="90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1"/>
                <w:szCs w:val="21"/>
              </w:rPr>
            </w:pPr>
            <w:r>
              <w:rPr>
                <w:rFonts w:hint="eastAsia" w:ascii="仿宋_GB2312" w:hAnsi="Times New Roman" w:cs="Times New Roman"/>
                <w:b/>
                <w:bCs/>
                <w:kern w:val="0"/>
                <w:sz w:val="21"/>
                <w:szCs w:val="21"/>
              </w:rPr>
              <w:t>项目名称</w:t>
            </w:r>
          </w:p>
        </w:tc>
        <w:tc>
          <w:tcPr>
            <w:tcW w:w="11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1"/>
                <w:szCs w:val="21"/>
              </w:rPr>
            </w:pPr>
            <w:r>
              <w:rPr>
                <w:rFonts w:hint="eastAsia" w:ascii="仿宋_GB2312" w:hAnsi="Times New Roman" w:cs="Times New Roman"/>
                <w:b/>
                <w:bCs/>
                <w:kern w:val="0"/>
                <w:sz w:val="21"/>
                <w:szCs w:val="21"/>
              </w:rPr>
              <w:t>位置</w:t>
            </w:r>
          </w:p>
        </w:tc>
        <w:tc>
          <w:tcPr>
            <w:tcW w:w="38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b/>
                <w:bCs/>
                <w:color w:val="000000"/>
                <w:kern w:val="0"/>
                <w:sz w:val="21"/>
                <w:szCs w:val="21"/>
              </w:rPr>
            </w:pPr>
            <w:r>
              <w:rPr>
                <w:rFonts w:hint="eastAsia" w:ascii="仿宋_GB2312" w:hAnsi="Times New Roman" w:cs="Times New Roman"/>
                <w:b/>
                <w:bCs/>
                <w:color w:val="000000"/>
                <w:kern w:val="0"/>
                <w:sz w:val="21"/>
                <w:szCs w:val="21"/>
              </w:rPr>
              <w:t>实施周期</w:t>
            </w:r>
          </w:p>
        </w:tc>
        <w:tc>
          <w:tcPr>
            <w:tcW w:w="17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b/>
                <w:bCs/>
                <w:kern w:val="0"/>
                <w:sz w:val="21"/>
                <w:szCs w:val="21"/>
              </w:rPr>
            </w:pPr>
            <w:r>
              <w:rPr>
                <w:rFonts w:hint="eastAsia" w:ascii="仿宋_GB2312" w:hAnsi="Times New Roman" w:cs="Times New Roman"/>
                <w:b/>
                <w:bCs/>
                <w:kern w:val="0"/>
                <w:sz w:val="21"/>
                <w:szCs w:val="21"/>
              </w:rPr>
              <w:t>治理措施</w:t>
            </w:r>
          </w:p>
        </w:tc>
      </w:tr>
      <w:tr>
        <w:tblPrEx>
          <w:tblCellMar>
            <w:top w:w="0" w:type="dxa"/>
            <w:left w:w="108" w:type="dxa"/>
            <w:bottom w:w="0" w:type="dxa"/>
            <w:right w:w="108" w:type="dxa"/>
          </w:tblCellMar>
        </w:tblPrEx>
        <w:trPr>
          <w:trHeight w:val="576" w:hRule="atLeast"/>
        </w:trPr>
        <w:tc>
          <w:tcPr>
            <w:tcW w:w="57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山体森林资源保护</w:t>
            </w: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山区生态林工程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水库汇水区、河流水源、生态脆弱区域等</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仿宋_GB2312" w:hAnsi="Arial" w:cs="Arial"/>
                <w:kern w:val="0"/>
                <w:sz w:val="21"/>
                <w:szCs w:val="21"/>
              </w:rPr>
            </w:pPr>
            <w:r>
              <w:rPr>
                <w:rFonts w:hint="eastAsia" w:ascii="仿宋_GB2312" w:hAnsi="Arial" w:cs="Arial"/>
                <w:kern w:val="0"/>
                <w:sz w:val="21"/>
                <w:szCs w:val="21"/>
              </w:rPr>
              <w:t>建设水源涵养林和水土保持林</w:t>
            </w:r>
          </w:p>
        </w:tc>
      </w:tr>
      <w:tr>
        <w:tblPrEx>
          <w:tblCellMar>
            <w:top w:w="0" w:type="dxa"/>
            <w:left w:w="108" w:type="dxa"/>
            <w:bottom w:w="0" w:type="dxa"/>
            <w:right w:w="108" w:type="dxa"/>
          </w:tblCellMar>
        </w:tblPrEx>
        <w:trPr>
          <w:trHeight w:val="864"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矿区生态治理工程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露天采掘矿区、尾矿堆集区、煤矿沉陷区和废弃矿坑等区域</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远期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采取工程措施与生态治理相结合的方式，宜乔则乔，宜灌则灌，宜草则草，宜藤则藤，乔灌藤草相结合</w:t>
            </w:r>
          </w:p>
        </w:tc>
      </w:tr>
      <w:tr>
        <w:tblPrEx>
          <w:tblCellMar>
            <w:top w:w="0" w:type="dxa"/>
            <w:left w:w="108" w:type="dxa"/>
            <w:bottom w:w="0" w:type="dxa"/>
            <w:right w:w="108" w:type="dxa"/>
          </w:tblCellMar>
        </w:tblPrEx>
        <w:trPr>
          <w:trHeight w:val="576"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国家储备林工程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崤山</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远期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利用人工造林、现有林改培、中幼林抚育等培育方式</w:t>
            </w:r>
          </w:p>
        </w:tc>
      </w:tr>
      <w:tr>
        <w:tblPrEx>
          <w:tblCellMar>
            <w:top w:w="0" w:type="dxa"/>
            <w:left w:w="108" w:type="dxa"/>
            <w:bottom w:w="0" w:type="dxa"/>
            <w:right w:w="108" w:type="dxa"/>
          </w:tblCellMar>
        </w:tblPrEx>
        <w:trPr>
          <w:trHeight w:val="1440" w:hRule="atLeast"/>
        </w:trPr>
        <w:tc>
          <w:tcPr>
            <w:tcW w:w="57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构筑水资源安全屏障与水土保持</w:t>
            </w: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水利设施能力提升工程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小浪底水库、黄河支流涧河渑池段</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实施水利设施能力提升工程，包括小浪底水库地质灾害处理项目、中小型水利工程防治灾害能力提升工程、黄河支流涧河渑池段污染应急防御工程等</w:t>
            </w:r>
          </w:p>
        </w:tc>
      </w:tr>
      <w:tr>
        <w:tblPrEx>
          <w:tblCellMar>
            <w:top w:w="0" w:type="dxa"/>
            <w:left w:w="108" w:type="dxa"/>
            <w:bottom w:w="0" w:type="dxa"/>
            <w:right w:w="108" w:type="dxa"/>
          </w:tblCellMar>
        </w:tblPrEx>
        <w:trPr>
          <w:trHeight w:val="576"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河道综合治理工程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南村西湾、黄河湿地渑池段、西段村水库</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河道生态修复、综合治理、泥沙治理等</w:t>
            </w:r>
          </w:p>
        </w:tc>
      </w:tr>
      <w:tr>
        <w:tblPrEx>
          <w:tblCellMar>
            <w:top w:w="0" w:type="dxa"/>
            <w:left w:w="108" w:type="dxa"/>
            <w:bottom w:w="0" w:type="dxa"/>
            <w:right w:w="108" w:type="dxa"/>
          </w:tblCellMar>
        </w:tblPrEx>
        <w:trPr>
          <w:trHeight w:val="576"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水土保持及流域综合治理项目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坡头乡、南村乡等</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实施水土保持及水土涵养林项目，生态清洁型小流域治理项目</w:t>
            </w:r>
          </w:p>
        </w:tc>
      </w:tr>
      <w:tr>
        <w:tblPrEx>
          <w:tblCellMar>
            <w:top w:w="0" w:type="dxa"/>
            <w:left w:w="108" w:type="dxa"/>
            <w:bottom w:w="0" w:type="dxa"/>
            <w:right w:w="108" w:type="dxa"/>
          </w:tblCellMar>
        </w:tblPrEx>
        <w:trPr>
          <w:trHeight w:val="864" w:hRule="atLeast"/>
        </w:trPr>
        <w:tc>
          <w:tcPr>
            <w:tcW w:w="57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耕地资源保护</w:t>
            </w: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农业种植业</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全县高标准农田</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仿宋_GB2312" w:hAnsi="Arial" w:cs="Arial"/>
                <w:kern w:val="0"/>
                <w:sz w:val="21"/>
                <w:szCs w:val="21"/>
              </w:rPr>
            </w:pPr>
            <w:r>
              <w:rPr>
                <w:rFonts w:hint="eastAsia" w:ascii="仿宋_GB2312" w:hAnsi="Arial" w:cs="Arial"/>
                <w:kern w:val="0"/>
                <w:sz w:val="21"/>
                <w:szCs w:val="21"/>
              </w:rPr>
              <w:t>实施高标准农田建设项目、土壤调理剂项目、高标准日光温室大棚扩建项目等</w:t>
            </w:r>
          </w:p>
        </w:tc>
      </w:tr>
      <w:tr>
        <w:tblPrEx>
          <w:tblCellMar>
            <w:top w:w="0" w:type="dxa"/>
            <w:left w:w="108" w:type="dxa"/>
            <w:bottom w:w="0" w:type="dxa"/>
            <w:right w:w="108" w:type="dxa"/>
          </w:tblCellMar>
        </w:tblPrEx>
        <w:trPr>
          <w:trHeight w:val="864"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双椒一药产业</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英豪镇、洪阳镇等</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远期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加强双椒一药特色产业，包括标准化产业基地建设项目、现代农业产业园建设等</w:t>
            </w:r>
          </w:p>
        </w:tc>
      </w:tr>
      <w:tr>
        <w:tblPrEx>
          <w:tblCellMar>
            <w:top w:w="0" w:type="dxa"/>
            <w:left w:w="108" w:type="dxa"/>
            <w:bottom w:w="0" w:type="dxa"/>
            <w:right w:w="108" w:type="dxa"/>
          </w:tblCellMar>
        </w:tblPrEx>
        <w:trPr>
          <w:trHeight w:val="288"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土地整治项目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仁村乡、段村乡</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河道治理土地整治</w:t>
            </w:r>
          </w:p>
        </w:tc>
      </w:tr>
      <w:tr>
        <w:tblPrEx>
          <w:tblCellMar>
            <w:top w:w="0" w:type="dxa"/>
            <w:left w:w="108" w:type="dxa"/>
            <w:bottom w:w="0" w:type="dxa"/>
            <w:right w:w="108" w:type="dxa"/>
          </w:tblCellMar>
        </w:tblPrEx>
        <w:trPr>
          <w:trHeight w:val="864" w:hRule="atLeast"/>
        </w:trPr>
        <w:tc>
          <w:tcPr>
            <w:tcW w:w="57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矿山地质环境恢复与治理</w:t>
            </w: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w:t>
            </w:r>
            <w:r>
              <w:rPr>
                <w:rFonts w:hint="eastAsia" w:ascii="仿宋_GB2312" w:hAnsi="Times New Roman" w:cs="Times New Roman"/>
                <w:kern w:val="0"/>
                <w:sz w:val="21"/>
                <w:szCs w:val="21"/>
              </w:rPr>
              <w:t>三区两线</w:t>
            </w:r>
            <w:r>
              <w:rPr>
                <w:rFonts w:ascii="Times New Roman" w:hAnsi="Times New Roman" w:eastAsia="宋体" w:cs="Times New Roman"/>
                <w:kern w:val="0"/>
                <w:sz w:val="21"/>
                <w:szCs w:val="21"/>
              </w:rPr>
              <w:t>”</w:t>
            </w:r>
            <w:r>
              <w:rPr>
                <w:rFonts w:hint="eastAsia" w:ascii="仿宋_GB2312" w:hAnsi="Times New Roman" w:cs="Times New Roman"/>
                <w:kern w:val="0"/>
                <w:sz w:val="21"/>
                <w:szCs w:val="21"/>
              </w:rPr>
              <w:t>历史遗留矿山地质环境治理工程项目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w:t>
            </w:r>
            <w:r>
              <w:rPr>
                <w:rFonts w:hint="eastAsia" w:ascii="仿宋_GB2312" w:hAnsi="Times New Roman" w:cs="Times New Roman"/>
                <w:kern w:val="0"/>
                <w:sz w:val="21"/>
                <w:szCs w:val="21"/>
              </w:rPr>
              <w:t>三区两线</w:t>
            </w:r>
            <w:r>
              <w:rPr>
                <w:rFonts w:ascii="Times New Roman" w:hAnsi="Times New Roman" w:eastAsia="宋体" w:cs="Times New Roman"/>
                <w:kern w:val="0"/>
                <w:sz w:val="21"/>
                <w:szCs w:val="21"/>
              </w:rPr>
              <w:t>”</w:t>
            </w:r>
            <w:r>
              <w:rPr>
                <w:rFonts w:hint="eastAsia" w:ascii="仿宋_GB2312" w:hAnsi="Times New Roman" w:cs="Times New Roman"/>
                <w:kern w:val="0"/>
                <w:sz w:val="21"/>
                <w:szCs w:val="21"/>
              </w:rPr>
              <w:t>历史遗留矿山</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主要开展矿渣清运、危岩体清除、回填、植树等工程措施</w:t>
            </w:r>
          </w:p>
        </w:tc>
      </w:tr>
      <w:tr>
        <w:tblPrEx>
          <w:tblCellMar>
            <w:top w:w="0" w:type="dxa"/>
            <w:left w:w="108" w:type="dxa"/>
            <w:bottom w:w="0" w:type="dxa"/>
            <w:right w:w="108" w:type="dxa"/>
          </w:tblCellMar>
        </w:tblPrEx>
        <w:trPr>
          <w:trHeight w:val="864"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其他区域历史遗留矿山地质环境恢复治理工程项目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其他区域历史遗留矿山</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主要开展土地整理、覆土复垦等工程措施</w:t>
            </w:r>
          </w:p>
        </w:tc>
      </w:tr>
      <w:tr>
        <w:tblPrEx>
          <w:tblCellMar>
            <w:top w:w="0" w:type="dxa"/>
            <w:left w:w="108" w:type="dxa"/>
            <w:bottom w:w="0" w:type="dxa"/>
            <w:right w:w="108" w:type="dxa"/>
          </w:tblCellMar>
        </w:tblPrEx>
        <w:trPr>
          <w:trHeight w:val="864"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政策性关闭矿山地质环境治理工程项目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政策性关闭矿山</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主要采用废渣清运、浆砌石挡土墙、排水渠、废石回填、覆土、植树等工程措施</w:t>
            </w:r>
          </w:p>
        </w:tc>
      </w:tr>
      <w:tr>
        <w:tblPrEx>
          <w:tblCellMar>
            <w:top w:w="0" w:type="dxa"/>
            <w:left w:w="108" w:type="dxa"/>
            <w:bottom w:w="0" w:type="dxa"/>
            <w:right w:w="108" w:type="dxa"/>
          </w:tblCellMar>
        </w:tblPrEx>
        <w:trPr>
          <w:trHeight w:val="864"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生产矿山地质环境治理工程项目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生产矿山</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主要采用废渣清运、浆砌石挡土墙、排水渠、废石回填、覆土、植树等工程措施</w:t>
            </w:r>
          </w:p>
        </w:tc>
      </w:tr>
      <w:tr>
        <w:tblPrEx>
          <w:tblCellMar>
            <w:top w:w="0" w:type="dxa"/>
            <w:left w:w="108" w:type="dxa"/>
            <w:bottom w:w="0" w:type="dxa"/>
            <w:right w:w="108" w:type="dxa"/>
          </w:tblCellMar>
        </w:tblPrEx>
        <w:trPr>
          <w:trHeight w:val="864" w:hRule="atLeast"/>
        </w:trPr>
        <w:tc>
          <w:tcPr>
            <w:tcW w:w="57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繁荣发展生态文化旅游</w:t>
            </w: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文物保护</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曙猿遗址、利津古渡</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仿宋_GB2312" w:hAnsi="Arial" w:cs="Arial"/>
                <w:kern w:val="0"/>
                <w:sz w:val="21"/>
                <w:szCs w:val="21"/>
              </w:rPr>
            </w:pPr>
            <w:r>
              <w:rPr>
                <w:rFonts w:hint="eastAsia" w:ascii="仿宋_GB2312" w:hAnsi="Arial" w:cs="Arial"/>
                <w:kern w:val="0"/>
                <w:sz w:val="21"/>
                <w:szCs w:val="21"/>
              </w:rPr>
              <w:t>开展文物保护，包括曙猿遗址保护、利津古渡、仰韶村遗址本体保护性展示、民间博物馆群</w:t>
            </w:r>
          </w:p>
        </w:tc>
      </w:tr>
      <w:tr>
        <w:tblPrEx>
          <w:tblCellMar>
            <w:top w:w="0" w:type="dxa"/>
            <w:left w:w="108" w:type="dxa"/>
            <w:bottom w:w="0" w:type="dxa"/>
            <w:right w:w="108" w:type="dxa"/>
          </w:tblCellMar>
        </w:tblPrEx>
        <w:trPr>
          <w:trHeight w:val="1152"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文化产业工程项目</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仰韶文化彩陶艺术展示园、仰韶文化产业园、桓王山国家生态公园、黄河丹峡景区</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实施文化产业工程项目，包括桓王山国家生态公园、黄河丹峡景区扩建项目等</w:t>
            </w:r>
          </w:p>
        </w:tc>
      </w:tr>
      <w:tr>
        <w:tblPrEx>
          <w:tblCellMar>
            <w:top w:w="0" w:type="dxa"/>
            <w:left w:w="108" w:type="dxa"/>
            <w:bottom w:w="0" w:type="dxa"/>
            <w:right w:w="108" w:type="dxa"/>
          </w:tblCellMar>
        </w:tblPrEx>
        <w:trPr>
          <w:trHeight w:val="1152"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重点景区提升工程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仰韶大峡谷、韶山森林公园、仰韶仙门山景区、黛眉山柏帝庙景区等</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实施重点景区提升工程，包括仰韶大峡谷提档升级项目、渑池县韶山森林公园项目、仰韶仙门山景区项目、黛眉山柏帝庙景区开发项目等。</w:t>
            </w:r>
          </w:p>
        </w:tc>
      </w:tr>
      <w:tr>
        <w:tblPrEx>
          <w:tblCellMar>
            <w:top w:w="0" w:type="dxa"/>
            <w:left w:w="108" w:type="dxa"/>
            <w:bottom w:w="0" w:type="dxa"/>
            <w:right w:w="108" w:type="dxa"/>
          </w:tblCellMar>
        </w:tblPrEx>
        <w:trPr>
          <w:trHeight w:val="1440"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旅游配套优化工程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沿黄区域、段村乡仰韶大峡谷景区、仰韶大峡谷景区、黄河丹峡景区等</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开展旅游配套优化工程，包括百里沿黄生态文化旅游绿道、段村乡游客服务中心项目、仰韶大峡谷景区配套项目、渑池县黄河丹峡景区服务功能提升项目等</w:t>
            </w:r>
          </w:p>
        </w:tc>
      </w:tr>
      <w:tr>
        <w:tblPrEx>
          <w:tblCellMar>
            <w:top w:w="0" w:type="dxa"/>
            <w:left w:w="108" w:type="dxa"/>
            <w:bottom w:w="0" w:type="dxa"/>
            <w:right w:w="108" w:type="dxa"/>
          </w:tblCellMar>
        </w:tblPrEx>
        <w:trPr>
          <w:trHeight w:val="576" w:hRule="atLeast"/>
        </w:trPr>
        <w:tc>
          <w:tcPr>
            <w:tcW w:w="575"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构建区域生态保护新格局</w:t>
            </w: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沿黄生态带</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黄河沿线</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生态修复、绿化、湿地保护、水土流失治理、土壤保护等</w:t>
            </w:r>
          </w:p>
        </w:tc>
      </w:tr>
      <w:tr>
        <w:tblPrEx>
          <w:tblCellMar>
            <w:top w:w="0" w:type="dxa"/>
            <w:left w:w="108" w:type="dxa"/>
            <w:bottom w:w="0" w:type="dxa"/>
            <w:right w:w="108" w:type="dxa"/>
          </w:tblCellMar>
        </w:tblPrEx>
        <w:trPr>
          <w:trHeight w:val="288"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绿地建设工程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固废基地</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大宗固废基地园区绿地建设</w:t>
            </w:r>
          </w:p>
        </w:tc>
      </w:tr>
      <w:tr>
        <w:tblPrEx>
          <w:tblCellMar>
            <w:top w:w="0" w:type="dxa"/>
            <w:left w:w="108" w:type="dxa"/>
            <w:bottom w:w="0" w:type="dxa"/>
            <w:right w:w="108" w:type="dxa"/>
          </w:tblCellMar>
        </w:tblPrEx>
        <w:trPr>
          <w:trHeight w:val="1152" w:hRule="atLeast"/>
        </w:trPr>
        <w:tc>
          <w:tcPr>
            <w:tcW w:w="575"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26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9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固体废弃物综合处理工程</w:t>
            </w:r>
          </w:p>
        </w:tc>
        <w:tc>
          <w:tcPr>
            <w:tcW w:w="1109"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废污综合利用项目</w:t>
            </w:r>
          </w:p>
        </w:tc>
        <w:tc>
          <w:tcPr>
            <w:tcW w:w="380"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近期</w:t>
            </w:r>
          </w:p>
        </w:tc>
        <w:tc>
          <w:tcPr>
            <w:tcW w:w="177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1"/>
                <w:szCs w:val="21"/>
              </w:rPr>
            </w:pPr>
            <w:r>
              <w:rPr>
                <w:rFonts w:hint="eastAsia" w:ascii="仿宋_GB2312" w:hAnsi="Times New Roman" w:cs="Times New Roman"/>
                <w:kern w:val="0"/>
                <w:sz w:val="21"/>
                <w:szCs w:val="21"/>
              </w:rPr>
              <w:t>开展固体废弃物综合处理，包括分类收集运输工程、生活垃圾应急处置场项目、农作物秸秆及畜禽养殖废污综合利用项目</w:t>
            </w:r>
          </w:p>
        </w:tc>
      </w:tr>
    </w:tbl>
    <w:p>
      <w:pPr>
        <w:jc w:val="left"/>
      </w:pPr>
    </w:p>
    <w:p>
      <w:pPr>
        <w:jc w:val="left"/>
      </w:pPr>
    </w:p>
    <w:p>
      <w:pPr>
        <w:jc w:val="left"/>
      </w:pPr>
    </w:p>
    <w:p>
      <w:pPr>
        <w:pStyle w:val="2"/>
        <w:spacing w:line="360" w:lineRule="auto"/>
        <w:jc w:val="left"/>
        <w:rPr>
          <w:rFonts w:ascii="仿宋_GB2312" w:hAnsi="仿宋_GB2312" w:eastAsia="仿宋_GB2312"/>
          <w:sz w:val="30"/>
          <w:szCs w:val="30"/>
        </w:rPr>
        <w:sectPr>
          <w:pgSz w:w="16838" w:h="11906" w:orient="landscape"/>
          <w:pgMar w:top="1800" w:right="1440" w:bottom="1800" w:left="1440" w:header="851" w:footer="992" w:gutter="0"/>
          <w:cols w:space="425" w:num="1"/>
          <w:docGrid w:type="lines" w:linePitch="381" w:charSpace="0"/>
        </w:sectPr>
      </w:pPr>
    </w:p>
    <w:p>
      <w:pPr>
        <w:pStyle w:val="2"/>
        <w:spacing w:line="360" w:lineRule="auto"/>
        <w:jc w:val="left"/>
        <w:rPr>
          <w:rFonts w:ascii="仿宋_GB2312" w:hAnsi="仿宋_GB2312" w:eastAsia="仿宋_GB2312"/>
          <w:sz w:val="30"/>
          <w:szCs w:val="30"/>
        </w:rPr>
      </w:pPr>
      <w:bookmarkStart w:id="69" w:name="_Toc153456093"/>
      <w:r>
        <w:rPr>
          <w:rFonts w:hint="eastAsia" w:ascii="仿宋_GB2312" w:hAnsi="仿宋_GB2312" w:eastAsia="仿宋_GB2312"/>
          <w:sz w:val="30"/>
          <w:szCs w:val="30"/>
        </w:rPr>
        <w:t>附图1</w:t>
      </w:r>
      <w:r>
        <w:rPr>
          <w:rFonts w:ascii="仿宋_GB2312" w:hAnsi="仿宋_GB2312" w:eastAsia="仿宋_GB2312"/>
          <w:sz w:val="30"/>
          <w:szCs w:val="30"/>
        </w:rPr>
        <w:t xml:space="preserve">  </w:t>
      </w:r>
      <w:bookmarkStart w:id="70" w:name="_Hlk148083792"/>
      <w:r>
        <w:rPr>
          <w:rFonts w:hint="eastAsia" w:ascii="仿宋_GB2312" w:hAnsi="仿宋_GB2312" w:eastAsia="仿宋_GB2312"/>
          <w:sz w:val="30"/>
          <w:szCs w:val="30"/>
        </w:rPr>
        <w:t>山体保护名录分布图</w:t>
      </w:r>
      <w:bookmarkEnd w:id="69"/>
      <w:bookmarkEnd w:id="70"/>
    </w:p>
    <w:p>
      <w:pPr>
        <w:jc w:val="left"/>
        <w:rPr>
          <w:rFonts w:ascii="Times New Roman" w:hAnsi="Times New Roman" w:cs="Times New Roman"/>
        </w:rPr>
      </w:pPr>
      <w:r>
        <w:drawing>
          <wp:inline distT="0" distB="0" distL="0" distR="0">
            <wp:extent cx="5274310" cy="5441315"/>
            <wp:effectExtent l="0" t="0" r="2540" b="6985"/>
            <wp:docPr id="12467781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778155" name="图片 1"/>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a:xfrm>
                      <a:off x="0" y="0"/>
                      <a:ext cx="5274310" cy="5441602"/>
                    </a:xfrm>
                    <a:prstGeom prst="rect">
                      <a:avLst/>
                    </a:prstGeom>
                    <a:noFill/>
                    <a:ln>
                      <a:noFill/>
                    </a:ln>
                  </pic:spPr>
                </pic:pic>
              </a:graphicData>
            </a:graphic>
          </wp:inline>
        </w:drawing>
      </w: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pStyle w:val="2"/>
        <w:spacing w:line="360" w:lineRule="auto"/>
        <w:jc w:val="left"/>
        <w:rPr>
          <w:rFonts w:ascii="仿宋_GB2312" w:hAnsi="仿宋_GB2312" w:eastAsia="仿宋_GB2312"/>
          <w:sz w:val="30"/>
          <w:szCs w:val="30"/>
        </w:rPr>
      </w:pPr>
      <w:bookmarkStart w:id="71" w:name="_Toc153456094"/>
      <w:r>
        <w:rPr>
          <w:rFonts w:hint="eastAsia" w:ascii="仿宋_GB2312" w:hAnsi="仿宋_GB2312" w:eastAsia="仿宋_GB2312"/>
          <w:sz w:val="30"/>
          <w:szCs w:val="30"/>
        </w:rPr>
        <w:t>附图</w:t>
      </w:r>
      <w:r>
        <w:rPr>
          <w:rFonts w:ascii="仿宋_GB2312" w:hAnsi="仿宋_GB2312" w:eastAsia="仿宋_GB2312"/>
          <w:sz w:val="30"/>
          <w:szCs w:val="30"/>
        </w:rPr>
        <w:t xml:space="preserve">2  </w:t>
      </w:r>
      <w:bookmarkStart w:id="72" w:name="_Hlk148083800"/>
      <w:r>
        <w:rPr>
          <w:rFonts w:hint="eastAsia" w:ascii="仿宋_GB2312" w:hAnsi="仿宋_GB2312" w:eastAsia="仿宋_GB2312"/>
          <w:sz w:val="30"/>
          <w:szCs w:val="30"/>
        </w:rPr>
        <w:t>村级山体分布图</w:t>
      </w:r>
      <w:bookmarkEnd w:id="71"/>
      <w:bookmarkEnd w:id="72"/>
    </w:p>
    <w:p>
      <w:pPr>
        <w:rPr>
          <w:rFonts w:ascii="Times New Roman" w:hAnsi="Times New Roman" w:cs="Times New Roman"/>
        </w:rPr>
      </w:pPr>
      <w:r>
        <w:drawing>
          <wp:inline distT="0" distB="0" distL="0" distR="0">
            <wp:extent cx="5274310" cy="5441315"/>
            <wp:effectExtent l="0" t="0" r="2540" b="6985"/>
            <wp:docPr id="3713633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363377" name="图片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a:xfrm>
                      <a:off x="0" y="0"/>
                      <a:ext cx="5274310" cy="5441602"/>
                    </a:xfrm>
                    <a:prstGeom prst="rect">
                      <a:avLst/>
                    </a:prstGeom>
                    <a:noFill/>
                    <a:ln>
                      <a:noFill/>
                    </a:ln>
                  </pic:spPr>
                </pic:pic>
              </a:graphicData>
            </a:graphic>
          </wp:inline>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pStyle w:val="2"/>
        <w:spacing w:line="360" w:lineRule="auto"/>
        <w:jc w:val="left"/>
        <w:rPr>
          <w:rFonts w:ascii="仿宋_GB2312" w:hAnsi="仿宋_GB2312" w:eastAsia="仿宋_GB2312"/>
          <w:sz w:val="30"/>
          <w:szCs w:val="30"/>
        </w:rPr>
      </w:pPr>
      <w:bookmarkStart w:id="73" w:name="_Toc153456095"/>
      <w:r>
        <w:rPr>
          <w:rFonts w:hint="eastAsia" w:ascii="仿宋_GB2312" w:hAnsi="仿宋_GB2312" w:eastAsia="仿宋_GB2312"/>
          <w:sz w:val="30"/>
          <w:szCs w:val="30"/>
        </w:rPr>
        <w:t>附图</w:t>
      </w:r>
      <w:r>
        <w:rPr>
          <w:rFonts w:ascii="仿宋_GB2312" w:hAnsi="仿宋_GB2312" w:eastAsia="仿宋_GB2312"/>
          <w:sz w:val="30"/>
          <w:szCs w:val="30"/>
        </w:rPr>
        <w:t xml:space="preserve">3  </w:t>
      </w:r>
      <w:bookmarkStart w:id="74" w:name="_Hlk148083813"/>
      <w:r>
        <w:rPr>
          <w:rFonts w:hint="eastAsia" w:ascii="仿宋_GB2312" w:hAnsi="仿宋_GB2312" w:eastAsia="仿宋_GB2312"/>
          <w:sz w:val="30"/>
          <w:szCs w:val="30"/>
        </w:rPr>
        <w:t>生态环境问题现状图</w:t>
      </w:r>
      <w:bookmarkEnd w:id="73"/>
      <w:bookmarkEnd w:id="74"/>
    </w:p>
    <w:p>
      <w:pPr>
        <w:rPr>
          <w:rFonts w:ascii="Times New Roman" w:hAnsi="Times New Roman" w:cs="Times New Roman"/>
        </w:rPr>
      </w:pPr>
      <w:r>
        <w:drawing>
          <wp:inline distT="0" distB="0" distL="0" distR="0">
            <wp:extent cx="5274310" cy="5441315"/>
            <wp:effectExtent l="0" t="0" r="2540" b="6985"/>
            <wp:docPr id="7285414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541497" name="图片 3"/>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a:xfrm>
                      <a:off x="0" y="0"/>
                      <a:ext cx="5274310" cy="5441602"/>
                    </a:xfrm>
                    <a:prstGeom prst="rect">
                      <a:avLst/>
                    </a:prstGeom>
                    <a:noFill/>
                    <a:ln>
                      <a:noFill/>
                    </a:ln>
                  </pic:spPr>
                </pic:pic>
              </a:graphicData>
            </a:graphic>
          </wp:inline>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pStyle w:val="2"/>
        <w:spacing w:line="360" w:lineRule="auto"/>
        <w:jc w:val="left"/>
        <w:rPr>
          <w:rFonts w:ascii="仿宋_GB2312" w:hAnsi="仿宋_GB2312" w:eastAsia="仿宋_GB2312"/>
          <w:sz w:val="30"/>
          <w:szCs w:val="30"/>
        </w:rPr>
      </w:pPr>
      <w:bookmarkStart w:id="75" w:name="_Toc153456096"/>
      <w:r>
        <w:rPr>
          <w:rFonts w:hint="eastAsia" w:ascii="仿宋_GB2312" w:hAnsi="仿宋_GB2312" w:eastAsia="仿宋_GB2312"/>
          <w:sz w:val="30"/>
          <w:szCs w:val="30"/>
        </w:rPr>
        <w:t>附图</w:t>
      </w:r>
      <w:r>
        <w:rPr>
          <w:rFonts w:ascii="仿宋_GB2312" w:hAnsi="仿宋_GB2312" w:eastAsia="仿宋_GB2312"/>
          <w:sz w:val="30"/>
          <w:szCs w:val="30"/>
        </w:rPr>
        <w:t xml:space="preserve">4  </w:t>
      </w:r>
      <w:bookmarkStart w:id="76" w:name="_Hlk148083822"/>
      <w:r>
        <w:rPr>
          <w:rFonts w:hint="eastAsia" w:ascii="仿宋_GB2312" w:hAnsi="仿宋_GB2312" w:eastAsia="仿宋_GB2312"/>
          <w:sz w:val="30"/>
          <w:szCs w:val="30"/>
        </w:rPr>
        <w:t>山体修复工程规划图</w:t>
      </w:r>
      <w:bookmarkEnd w:id="75"/>
      <w:bookmarkEnd w:id="76"/>
    </w:p>
    <w:p>
      <w:pPr>
        <w:rPr>
          <w:rFonts w:ascii="Times New Roman" w:hAnsi="Times New Roman" w:cs="Times New Roman"/>
        </w:rPr>
      </w:pPr>
      <w:r>
        <w:drawing>
          <wp:inline distT="0" distB="0" distL="0" distR="0">
            <wp:extent cx="5274310" cy="5441315"/>
            <wp:effectExtent l="0" t="0" r="2540" b="6985"/>
            <wp:docPr id="16988209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820922" name="图片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a:xfrm>
                      <a:off x="0" y="0"/>
                      <a:ext cx="5274310" cy="5441602"/>
                    </a:xfrm>
                    <a:prstGeom prst="rect">
                      <a:avLst/>
                    </a:prstGeom>
                    <a:noFill/>
                    <a:ln>
                      <a:noFill/>
                    </a:ln>
                  </pic:spPr>
                </pic:pic>
              </a:graphicData>
            </a:graphic>
          </wp:inline>
        </w:drawing>
      </w:r>
    </w:p>
    <w:p>
      <w:pPr>
        <w:ind w:firstLine="560" w:firstLineChars="200"/>
        <w:rPr>
          <w:rFonts w:hint="eastAsia" w:ascii="Times New Roman" w:hAnsi="Times New Roman" w:cs="Times New Roma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8CF3C52" w:usb2="00000016" w:usb3="00000000" w:csb0="0004001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4238817"/>
      <w:docPartObj>
        <w:docPartGallery w:val="autotext"/>
      </w:docPartObj>
    </w:sdtPr>
    <w:sdtContent>
      <w:p>
        <w:pPr>
          <w:pStyle w:val="12"/>
          <w:jc w:val="cente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5522010"/>
      <w:docPartObj>
        <w:docPartGallery w:val="autotext"/>
      </w:docPartObj>
    </w:sdtPr>
    <w:sdtContent>
      <w:p>
        <w:pPr>
          <w:pStyle w:val="12"/>
          <w:jc w:val="cente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3685" w:firstLine="0"/>
      </w:pPr>
      <w:rPr>
        <w:rFonts w:hint="eastAsia" w:ascii="黑体" w:hAnsi="Times New Roman" w:eastAsia="黑体"/>
        <w:b w:val="0"/>
        <w:i w:val="0"/>
        <w:sz w:val="21"/>
        <w:szCs w:val="21"/>
      </w:rPr>
    </w:lvl>
    <w:lvl w:ilvl="1" w:tentative="0">
      <w:start w:val="1"/>
      <w:numFmt w:val="decimal"/>
      <w:pStyle w:val="56"/>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1984" w:firstLine="0"/>
      </w:pPr>
      <w:rPr>
        <w:rFonts w:hint="eastAsia" w:ascii="黑体" w:hAnsi="Times New Roman" w:eastAsia="黑体"/>
        <w:b w:val="0"/>
        <w:i w:val="0"/>
        <w:sz w:val="21"/>
      </w:rPr>
    </w:lvl>
    <w:lvl w:ilvl="3" w:tentative="0">
      <w:start w:val="1"/>
      <w:numFmt w:val="decimal"/>
      <w:suff w:val="nothing"/>
      <w:lvlText w:val="%1.%2.%3.%4　"/>
      <w:lvlJc w:val="left"/>
      <w:pPr>
        <w:ind w:left="1984" w:firstLine="0"/>
      </w:pPr>
      <w:rPr>
        <w:rFonts w:hint="eastAsia" w:ascii="黑体" w:hAnsi="Times New Roman" w:eastAsia="黑体"/>
        <w:b w:val="0"/>
        <w:i w:val="0"/>
        <w:sz w:val="21"/>
      </w:rPr>
    </w:lvl>
    <w:lvl w:ilvl="4" w:tentative="0">
      <w:start w:val="1"/>
      <w:numFmt w:val="decimal"/>
      <w:suff w:val="nothing"/>
      <w:lvlText w:val="%1.%2.%3.%4.%5　"/>
      <w:lvlJc w:val="left"/>
      <w:pPr>
        <w:ind w:left="1984" w:firstLine="0"/>
      </w:pPr>
      <w:rPr>
        <w:rFonts w:hint="eastAsia" w:ascii="黑体" w:hAnsi="Times New Roman" w:eastAsia="黑体"/>
        <w:b w:val="0"/>
        <w:i w:val="0"/>
        <w:sz w:val="21"/>
      </w:rPr>
    </w:lvl>
    <w:lvl w:ilvl="5" w:tentative="0">
      <w:start w:val="1"/>
      <w:numFmt w:val="decimal"/>
      <w:suff w:val="nothing"/>
      <w:lvlText w:val="%1.%2.%3.%4.%5.%6　"/>
      <w:lvlJc w:val="left"/>
      <w:pPr>
        <w:ind w:left="1984" w:firstLine="0"/>
      </w:pPr>
      <w:rPr>
        <w:rFonts w:hint="eastAsia" w:ascii="黑体" w:hAnsi="Times New Roman" w:eastAsia="黑体"/>
        <w:b w:val="0"/>
        <w:i w:val="0"/>
        <w:sz w:val="21"/>
      </w:rPr>
    </w:lvl>
    <w:lvl w:ilvl="6" w:tentative="0">
      <w:start w:val="1"/>
      <w:numFmt w:val="decimal"/>
      <w:suff w:val="nothing"/>
      <w:lvlText w:val="%1%2.%3.%4.%5.%6.%7　"/>
      <w:lvlJc w:val="left"/>
      <w:pPr>
        <w:ind w:left="1984" w:firstLine="0"/>
      </w:pPr>
      <w:rPr>
        <w:rFonts w:hint="eastAsia" w:ascii="黑体" w:hAnsi="Times New Roman" w:eastAsia="黑体"/>
        <w:b w:val="0"/>
        <w:i w:val="0"/>
        <w:sz w:val="21"/>
      </w:rPr>
    </w:lvl>
    <w:lvl w:ilvl="7" w:tentative="0">
      <w:start w:val="1"/>
      <w:numFmt w:val="decimal"/>
      <w:lvlText w:val="%1.%2.%3.%4.%5.%6.%7.%8"/>
      <w:lvlJc w:val="left"/>
      <w:pPr>
        <w:tabs>
          <w:tab w:val="left" w:pos="6335"/>
        </w:tabs>
        <w:ind w:left="5953" w:hanging="1418"/>
      </w:pPr>
      <w:rPr>
        <w:rFonts w:hint="eastAsia"/>
      </w:rPr>
    </w:lvl>
    <w:lvl w:ilvl="8" w:tentative="0">
      <w:start w:val="1"/>
      <w:numFmt w:val="decimal"/>
      <w:lvlText w:val="%1.%2.%3.%4.%5.%6.%7.%8.%9"/>
      <w:lvlJc w:val="left"/>
      <w:pPr>
        <w:tabs>
          <w:tab w:val="left" w:pos="6761"/>
        </w:tabs>
        <w:ind w:left="666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ZjMzU0MDc0M2EwYWQxZWU0NGU0ZmUyMjZlZWNjNjcifQ=="/>
  </w:docVars>
  <w:rsids>
    <w:rsidRoot w:val="007B6B36"/>
    <w:rsid w:val="000008DB"/>
    <w:rsid w:val="00003525"/>
    <w:rsid w:val="000038DD"/>
    <w:rsid w:val="000041B9"/>
    <w:rsid w:val="00007550"/>
    <w:rsid w:val="00017945"/>
    <w:rsid w:val="00020DC0"/>
    <w:rsid w:val="00024D91"/>
    <w:rsid w:val="000265D9"/>
    <w:rsid w:val="0002667F"/>
    <w:rsid w:val="000328B8"/>
    <w:rsid w:val="00033EA0"/>
    <w:rsid w:val="00035D9E"/>
    <w:rsid w:val="000377AA"/>
    <w:rsid w:val="0003793F"/>
    <w:rsid w:val="00041AC8"/>
    <w:rsid w:val="00046173"/>
    <w:rsid w:val="000471D0"/>
    <w:rsid w:val="00051002"/>
    <w:rsid w:val="0005174B"/>
    <w:rsid w:val="0005480E"/>
    <w:rsid w:val="00056A5A"/>
    <w:rsid w:val="00057179"/>
    <w:rsid w:val="0006168B"/>
    <w:rsid w:val="0006327B"/>
    <w:rsid w:val="00064B22"/>
    <w:rsid w:val="00070753"/>
    <w:rsid w:val="000730AF"/>
    <w:rsid w:val="000731F8"/>
    <w:rsid w:val="00073E0D"/>
    <w:rsid w:val="000807C3"/>
    <w:rsid w:val="00081708"/>
    <w:rsid w:val="00082F6F"/>
    <w:rsid w:val="000845D3"/>
    <w:rsid w:val="00086638"/>
    <w:rsid w:val="00086B33"/>
    <w:rsid w:val="00087962"/>
    <w:rsid w:val="00090D01"/>
    <w:rsid w:val="000928C1"/>
    <w:rsid w:val="000968C3"/>
    <w:rsid w:val="000A1A9A"/>
    <w:rsid w:val="000A3027"/>
    <w:rsid w:val="000A48C7"/>
    <w:rsid w:val="000A59CF"/>
    <w:rsid w:val="000A7B9B"/>
    <w:rsid w:val="000B48BC"/>
    <w:rsid w:val="000B4D28"/>
    <w:rsid w:val="000C0D2A"/>
    <w:rsid w:val="000C1604"/>
    <w:rsid w:val="000C16AC"/>
    <w:rsid w:val="000C1A1D"/>
    <w:rsid w:val="000C6496"/>
    <w:rsid w:val="000C690D"/>
    <w:rsid w:val="000D12CA"/>
    <w:rsid w:val="000D39BE"/>
    <w:rsid w:val="000D509E"/>
    <w:rsid w:val="000D51B4"/>
    <w:rsid w:val="000D73D0"/>
    <w:rsid w:val="000E0A90"/>
    <w:rsid w:val="000E1A3A"/>
    <w:rsid w:val="000E38F3"/>
    <w:rsid w:val="000E66D4"/>
    <w:rsid w:val="000F121D"/>
    <w:rsid w:val="000F20F7"/>
    <w:rsid w:val="000F3A11"/>
    <w:rsid w:val="000F4422"/>
    <w:rsid w:val="00100CA5"/>
    <w:rsid w:val="001033F3"/>
    <w:rsid w:val="0010467E"/>
    <w:rsid w:val="0010580B"/>
    <w:rsid w:val="00106D73"/>
    <w:rsid w:val="00107E4F"/>
    <w:rsid w:val="0011081C"/>
    <w:rsid w:val="00113324"/>
    <w:rsid w:val="00115EF5"/>
    <w:rsid w:val="00122896"/>
    <w:rsid w:val="0012308C"/>
    <w:rsid w:val="001232CD"/>
    <w:rsid w:val="0012342E"/>
    <w:rsid w:val="0012344B"/>
    <w:rsid w:val="0012447D"/>
    <w:rsid w:val="001259B0"/>
    <w:rsid w:val="00131C9E"/>
    <w:rsid w:val="0013533E"/>
    <w:rsid w:val="00142F6D"/>
    <w:rsid w:val="001439EC"/>
    <w:rsid w:val="00144216"/>
    <w:rsid w:val="00144524"/>
    <w:rsid w:val="00150255"/>
    <w:rsid w:val="001502BF"/>
    <w:rsid w:val="001506EF"/>
    <w:rsid w:val="00152A64"/>
    <w:rsid w:val="001564EB"/>
    <w:rsid w:val="001567A7"/>
    <w:rsid w:val="00162144"/>
    <w:rsid w:val="001632C3"/>
    <w:rsid w:val="00177E69"/>
    <w:rsid w:val="00181230"/>
    <w:rsid w:val="00181990"/>
    <w:rsid w:val="00182F60"/>
    <w:rsid w:val="00185F27"/>
    <w:rsid w:val="00193DCE"/>
    <w:rsid w:val="00196446"/>
    <w:rsid w:val="00196B9A"/>
    <w:rsid w:val="00197E26"/>
    <w:rsid w:val="001A0338"/>
    <w:rsid w:val="001A0774"/>
    <w:rsid w:val="001A1CB6"/>
    <w:rsid w:val="001A276A"/>
    <w:rsid w:val="001A619D"/>
    <w:rsid w:val="001B0BB0"/>
    <w:rsid w:val="001B2EEB"/>
    <w:rsid w:val="001B7609"/>
    <w:rsid w:val="001B7AE3"/>
    <w:rsid w:val="001B7CBA"/>
    <w:rsid w:val="001C0460"/>
    <w:rsid w:val="001C216F"/>
    <w:rsid w:val="001C27CD"/>
    <w:rsid w:val="001C2BF1"/>
    <w:rsid w:val="001C337C"/>
    <w:rsid w:val="001D0B12"/>
    <w:rsid w:val="001D5FBC"/>
    <w:rsid w:val="001E1BE4"/>
    <w:rsid w:val="001F0DDC"/>
    <w:rsid w:val="001F143E"/>
    <w:rsid w:val="001F14E5"/>
    <w:rsid w:val="001F45A1"/>
    <w:rsid w:val="001F48B4"/>
    <w:rsid w:val="001F4DF9"/>
    <w:rsid w:val="001F6A2E"/>
    <w:rsid w:val="00200CE1"/>
    <w:rsid w:val="0020301C"/>
    <w:rsid w:val="0020591B"/>
    <w:rsid w:val="00205A7D"/>
    <w:rsid w:val="0021079A"/>
    <w:rsid w:val="002108BD"/>
    <w:rsid w:val="00211668"/>
    <w:rsid w:val="00212524"/>
    <w:rsid w:val="00213264"/>
    <w:rsid w:val="0021364F"/>
    <w:rsid w:val="00213929"/>
    <w:rsid w:val="00213EE2"/>
    <w:rsid w:val="002149D0"/>
    <w:rsid w:val="00216B5C"/>
    <w:rsid w:val="00223796"/>
    <w:rsid w:val="002238C4"/>
    <w:rsid w:val="00224FE5"/>
    <w:rsid w:val="002255C9"/>
    <w:rsid w:val="00225FC8"/>
    <w:rsid w:val="002272A4"/>
    <w:rsid w:val="00231D9D"/>
    <w:rsid w:val="00234D1E"/>
    <w:rsid w:val="00244ABB"/>
    <w:rsid w:val="00245A9E"/>
    <w:rsid w:val="00250618"/>
    <w:rsid w:val="0025114B"/>
    <w:rsid w:val="00252AB3"/>
    <w:rsid w:val="00252E81"/>
    <w:rsid w:val="00267A7D"/>
    <w:rsid w:val="002723A2"/>
    <w:rsid w:val="002819D0"/>
    <w:rsid w:val="0028331F"/>
    <w:rsid w:val="00284DDB"/>
    <w:rsid w:val="0029033F"/>
    <w:rsid w:val="00290D29"/>
    <w:rsid w:val="00291257"/>
    <w:rsid w:val="002940AC"/>
    <w:rsid w:val="00296744"/>
    <w:rsid w:val="002A0ACD"/>
    <w:rsid w:val="002A0C6A"/>
    <w:rsid w:val="002A2C34"/>
    <w:rsid w:val="002A78EF"/>
    <w:rsid w:val="002A7C15"/>
    <w:rsid w:val="002B0A66"/>
    <w:rsid w:val="002B6F6E"/>
    <w:rsid w:val="002B7625"/>
    <w:rsid w:val="002B7E4C"/>
    <w:rsid w:val="002C0AE5"/>
    <w:rsid w:val="002C0F06"/>
    <w:rsid w:val="002C4303"/>
    <w:rsid w:val="002C7D34"/>
    <w:rsid w:val="002D0D46"/>
    <w:rsid w:val="002D1825"/>
    <w:rsid w:val="002D38E0"/>
    <w:rsid w:val="002D406C"/>
    <w:rsid w:val="002E0998"/>
    <w:rsid w:val="002E6D55"/>
    <w:rsid w:val="002F0715"/>
    <w:rsid w:val="002F5812"/>
    <w:rsid w:val="00301CD0"/>
    <w:rsid w:val="00302629"/>
    <w:rsid w:val="003027B7"/>
    <w:rsid w:val="00304B02"/>
    <w:rsid w:val="00306E72"/>
    <w:rsid w:val="00315574"/>
    <w:rsid w:val="00321035"/>
    <w:rsid w:val="00322424"/>
    <w:rsid w:val="0032488B"/>
    <w:rsid w:val="00326EDE"/>
    <w:rsid w:val="00340CAD"/>
    <w:rsid w:val="00341828"/>
    <w:rsid w:val="003420EA"/>
    <w:rsid w:val="00342493"/>
    <w:rsid w:val="00347E5F"/>
    <w:rsid w:val="003530CE"/>
    <w:rsid w:val="00353FA1"/>
    <w:rsid w:val="003568BD"/>
    <w:rsid w:val="00356A21"/>
    <w:rsid w:val="003612A7"/>
    <w:rsid w:val="0036137F"/>
    <w:rsid w:val="00362D51"/>
    <w:rsid w:val="00362F47"/>
    <w:rsid w:val="00365112"/>
    <w:rsid w:val="0036709C"/>
    <w:rsid w:val="00367325"/>
    <w:rsid w:val="00367D2C"/>
    <w:rsid w:val="00370E4F"/>
    <w:rsid w:val="003746CD"/>
    <w:rsid w:val="003777DB"/>
    <w:rsid w:val="00377824"/>
    <w:rsid w:val="0038030F"/>
    <w:rsid w:val="003817A1"/>
    <w:rsid w:val="003910E8"/>
    <w:rsid w:val="00391B88"/>
    <w:rsid w:val="003923E5"/>
    <w:rsid w:val="003A05F6"/>
    <w:rsid w:val="003A0B6A"/>
    <w:rsid w:val="003A520F"/>
    <w:rsid w:val="003A64A3"/>
    <w:rsid w:val="003A7D25"/>
    <w:rsid w:val="003B1A8B"/>
    <w:rsid w:val="003B6129"/>
    <w:rsid w:val="003B635C"/>
    <w:rsid w:val="003C004A"/>
    <w:rsid w:val="003C2A1A"/>
    <w:rsid w:val="003C594E"/>
    <w:rsid w:val="003D0EEC"/>
    <w:rsid w:val="003D1B34"/>
    <w:rsid w:val="003D3F6F"/>
    <w:rsid w:val="003D3FBE"/>
    <w:rsid w:val="003D4E43"/>
    <w:rsid w:val="003E5296"/>
    <w:rsid w:val="003E53DF"/>
    <w:rsid w:val="003E5EC5"/>
    <w:rsid w:val="003F0FE1"/>
    <w:rsid w:val="00402A1A"/>
    <w:rsid w:val="00404FCC"/>
    <w:rsid w:val="004051A8"/>
    <w:rsid w:val="004052E3"/>
    <w:rsid w:val="00405A27"/>
    <w:rsid w:val="00410CD3"/>
    <w:rsid w:val="00413B88"/>
    <w:rsid w:val="004144A0"/>
    <w:rsid w:val="004145A1"/>
    <w:rsid w:val="004146A7"/>
    <w:rsid w:val="00414973"/>
    <w:rsid w:val="00417CA8"/>
    <w:rsid w:val="00427021"/>
    <w:rsid w:val="00431E07"/>
    <w:rsid w:val="00431EC8"/>
    <w:rsid w:val="004363C1"/>
    <w:rsid w:val="00436E42"/>
    <w:rsid w:val="00445F90"/>
    <w:rsid w:val="00446426"/>
    <w:rsid w:val="00446954"/>
    <w:rsid w:val="004512E5"/>
    <w:rsid w:val="0045266C"/>
    <w:rsid w:val="00456BFC"/>
    <w:rsid w:val="004577BA"/>
    <w:rsid w:val="004614F6"/>
    <w:rsid w:val="00461D44"/>
    <w:rsid w:val="00462FEB"/>
    <w:rsid w:val="00464B21"/>
    <w:rsid w:val="0046619A"/>
    <w:rsid w:val="00467B75"/>
    <w:rsid w:val="0047085F"/>
    <w:rsid w:val="00472F29"/>
    <w:rsid w:val="00475000"/>
    <w:rsid w:val="004772F9"/>
    <w:rsid w:val="00477534"/>
    <w:rsid w:val="00491CC8"/>
    <w:rsid w:val="0049209D"/>
    <w:rsid w:val="00494CF7"/>
    <w:rsid w:val="004A04D6"/>
    <w:rsid w:val="004A084E"/>
    <w:rsid w:val="004A2691"/>
    <w:rsid w:val="004A29CB"/>
    <w:rsid w:val="004A3034"/>
    <w:rsid w:val="004A4751"/>
    <w:rsid w:val="004A76BB"/>
    <w:rsid w:val="004B1573"/>
    <w:rsid w:val="004B2A38"/>
    <w:rsid w:val="004B3788"/>
    <w:rsid w:val="004B3D22"/>
    <w:rsid w:val="004B6BB8"/>
    <w:rsid w:val="004C229A"/>
    <w:rsid w:val="004C22C5"/>
    <w:rsid w:val="004C6CC0"/>
    <w:rsid w:val="004C799B"/>
    <w:rsid w:val="004D2140"/>
    <w:rsid w:val="004D32D6"/>
    <w:rsid w:val="004D77C0"/>
    <w:rsid w:val="004E0D5F"/>
    <w:rsid w:val="004E1031"/>
    <w:rsid w:val="004E1539"/>
    <w:rsid w:val="004E64D2"/>
    <w:rsid w:val="004E79DA"/>
    <w:rsid w:val="004F076C"/>
    <w:rsid w:val="004F0888"/>
    <w:rsid w:val="004F7F21"/>
    <w:rsid w:val="00500DE8"/>
    <w:rsid w:val="00501833"/>
    <w:rsid w:val="00503348"/>
    <w:rsid w:val="00503B37"/>
    <w:rsid w:val="00505016"/>
    <w:rsid w:val="00505346"/>
    <w:rsid w:val="00507514"/>
    <w:rsid w:val="00512A91"/>
    <w:rsid w:val="005147CE"/>
    <w:rsid w:val="00522240"/>
    <w:rsid w:val="005331BF"/>
    <w:rsid w:val="00533471"/>
    <w:rsid w:val="00533C77"/>
    <w:rsid w:val="00535D7E"/>
    <w:rsid w:val="005409AC"/>
    <w:rsid w:val="00543638"/>
    <w:rsid w:val="00543D2B"/>
    <w:rsid w:val="00543DCF"/>
    <w:rsid w:val="005449B0"/>
    <w:rsid w:val="00544B1B"/>
    <w:rsid w:val="005464EB"/>
    <w:rsid w:val="00553F00"/>
    <w:rsid w:val="00554AEE"/>
    <w:rsid w:val="00554B27"/>
    <w:rsid w:val="00555152"/>
    <w:rsid w:val="00556DDE"/>
    <w:rsid w:val="00557068"/>
    <w:rsid w:val="00560823"/>
    <w:rsid w:val="00562DA3"/>
    <w:rsid w:val="00564B82"/>
    <w:rsid w:val="00565AEA"/>
    <w:rsid w:val="00571B7B"/>
    <w:rsid w:val="0057638D"/>
    <w:rsid w:val="005838C0"/>
    <w:rsid w:val="00584277"/>
    <w:rsid w:val="005878A3"/>
    <w:rsid w:val="00590495"/>
    <w:rsid w:val="00591295"/>
    <w:rsid w:val="005931D4"/>
    <w:rsid w:val="00594C91"/>
    <w:rsid w:val="005956DF"/>
    <w:rsid w:val="005A14B6"/>
    <w:rsid w:val="005A4D56"/>
    <w:rsid w:val="005A780E"/>
    <w:rsid w:val="005B43F8"/>
    <w:rsid w:val="005C0B45"/>
    <w:rsid w:val="005C1AE0"/>
    <w:rsid w:val="005C4C40"/>
    <w:rsid w:val="005C4E61"/>
    <w:rsid w:val="005C56FF"/>
    <w:rsid w:val="005C5C04"/>
    <w:rsid w:val="005C736A"/>
    <w:rsid w:val="005D32D8"/>
    <w:rsid w:val="005D4E72"/>
    <w:rsid w:val="005D509F"/>
    <w:rsid w:val="005D7D82"/>
    <w:rsid w:val="005E0571"/>
    <w:rsid w:val="005E08C2"/>
    <w:rsid w:val="005E2A1D"/>
    <w:rsid w:val="005F02DC"/>
    <w:rsid w:val="005F0610"/>
    <w:rsid w:val="005F3C4C"/>
    <w:rsid w:val="005F653F"/>
    <w:rsid w:val="00600E11"/>
    <w:rsid w:val="00601261"/>
    <w:rsid w:val="00601AEF"/>
    <w:rsid w:val="00606332"/>
    <w:rsid w:val="00611686"/>
    <w:rsid w:val="0061180F"/>
    <w:rsid w:val="0061214D"/>
    <w:rsid w:val="006127A7"/>
    <w:rsid w:val="0061324D"/>
    <w:rsid w:val="00614DA8"/>
    <w:rsid w:val="00620C76"/>
    <w:rsid w:val="006240AA"/>
    <w:rsid w:val="00632528"/>
    <w:rsid w:val="006332C8"/>
    <w:rsid w:val="006340DD"/>
    <w:rsid w:val="00640A83"/>
    <w:rsid w:val="006438C2"/>
    <w:rsid w:val="006460C2"/>
    <w:rsid w:val="00646555"/>
    <w:rsid w:val="006469AA"/>
    <w:rsid w:val="0064753B"/>
    <w:rsid w:val="00647B28"/>
    <w:rsid w:val="0065320F"/>
    <w:rsid w:val="00655559"/>
    <w:rsid w:val="006574CF"/>
    <w:rsid w:val="006575A5"/>
    <w:rsid w:val="00657A2B"/>
    <w:rsid w:val="006625BB"/>
    <w:rsid w:val="006628B9"/>
    <w:rsid w:val="00666F92"/>
    <w:rsid w:val="00667218"/>
    <w:rsid w:val="00667E60"/>
    <w:rsid w:val="00670A36"/>
    <w:rsid w:val="00671478"/>
    <w:rsid w:val="00673BD5"/>
    <w:rsid w:val="00674E0D"/>
    <w:rsid w:val="00680BAA"/>
    <w:rsid w:val="0068511D"/>
    <w:rsid w:val="00696678"/>
    <w:rsid w:val="006A1B7E"/>
    <w:rsid w:val="006A1F53"/>
    <w:rsid w:val="006A5244"/>
    <w:rsid w:val="006A6AA6"/>
    <w:rsid w:val="006A7B92"/>
    <w:rsid w:val="006B2988"/>
    <w:rsid w:val="006B3739"/>
    <w:rsid w:val="006B7BFC"/>
    <w:rsid w:val="006C113F"/>
    <w:rsid w:val="006C5411"/>
    <w:rsid w:val="006C66FA"/>
    <w:rsid w:val="006C7212"/>
    <w:rsid w:val="006C7B3E"/>
    <w:rsid w:val="006D6417"/>
    <w:rsid w:val="006D664F"/>
    <w:rsid w:val="006E09F3"/>
    <w:rsid w:val="006E5716"/>
    <w:rsid w:val="006E648D"/>
    <w:rsid w:val="006F3EAD"/>
    <w:rsid w:val="006F54E4"/>
    <w:rsid w:val="006F6917"/>
    <w:rsid w:val="007007B0"/>
    <w:rsid w:val="00701CC5"/>
    <w:rsid w:val="0070260B"/>
    <w:rsid w:val="00702FBB"/>
    <w:rsid w:val="00704B3C"/>
    <w:rsid w:val="00705F5F"/>
    <w:rsid w:val="00711C63"/>
    <w:rsid w:val="00714F48"/>
    <w:rsid w:val="00717347"/>
    <w:rsid w:val="00721D18"/>
    <w:rsid w:val="00722F61"/>
    <w:rsid w:val="00723001"/>
    <w:rsid w:val="007238A9"/>
    <w:rsid w:val="007253F2"/>
    <w:rsid w:val="0072641F"/>
    <w:rsid w:val="00727370"/>
    <w:rsid w:val="007300A4"/>
    <w:rsid w:val="00730DA9"/>
    <w:rsid w:val="007325B4"/>
    <w:rsid w:val="00734B12"/>
    <w:rsid w:val="00741593"/>
    <w:rsid w:val="00742E69"/>
    <w:rsid w:val="007454BC"/>
    <w:rsid w:val="00751090"/>
    <w:rsid w:val="0075175C"/>
    <w:rsid w:val="00753ECD"/>
    <w:rsid w:val="00755854"/>
    <w:rsid w:val="007651D1"/>
    <w:rsid w:val="00771ED9"/>
    <w:rsid w:val="00772047"/>
    <w:rsid w:val="00774F99"/>
    <w:rsid w:val="00775035"/>
    <w:rsid w:val="00780045"/>
    <w:rsid w:val="00780E12"/>
    <w:rsid w:val="00782D6C"/>
    <w:rsid w:val="007861E4"/>
    <w:rsid w:val="00791635"/>
    <w:rsid w:val="00795574"/>
    <w:rsid w:val="007961F9"/>
    <w:rsid w:val="007A0AB3"/>
    <w:rsid w:val="007A3A1C"/>
    <w:rsid w:val="007A454A"/>
    <w:rsid w:val="007A5958"/>
    <w:rsid w:val="007B31C4"/>
    <w:rsid w:val="007B549F"/>
    <w:rsid w:val="007B6B36"/>
    <w:rsid w:val="007C2468"/>
    <w:rsid w:val="007C2B9B"/>
    <w:rsid w:val="007C43B4"/>
    <w:rsid w:val="007D3795"/>
    <w:rsid w:val="007D7F41"/>
    <w:rsid w:val="007F2A3B"/>
    <w:rsid w:val="007F4A6A"/>
    <w:rsid w:val="007F5FED"/>
    <w:rsid w:val="00800525"/>
    <w:rsid w:val="0080460C"/>
    <w:rsid w:val="00804FEF"/>
    <w:rsid w:val="00806BB2"/>
    <w:rsid w:val="00807957"/>
    <w:rsid w:val="008123B8"/>
    <w:rsid w:val="0081307C"/>
    <w:rsid w:val="00822B8D"/>
    <w:rsid w:val="0082493B"/>
    <w:rsid w:val="0082556D"/>
    <w:rsid w:val="00825732"/>
    <w:rsid w:val="00826261"/>
    <w:rsid w:val="00826B7C"/>
    <w:rsid w:val="0083085A"/>
    <w:rsid w:val="00830DC9"/>
    <w:rsid w:val="00835A0A"/>
    <w:rsid w:val="0083602E"/>
    <w:rsid w:val="00836E99"/>
    <w:rsid w:val="0083732F"/>
    <w:rsid w:val="00844180"/>
    <w:rsid w:val="00850B15"/>
    <w:rsid w:val="00851715"/>
    <w:rsid w:val="00854EF6"/>
    <w:rsid w:val="00856B16"/>
    <w:rsid w:val="0086178D"/>
    <w:rsid w:val="00874089"/>
    <w:rsid w:val="00876331"/>
    <w:rsid w:val="0087716A"/>
    <w:rsid w:val="008771FD"/>
    <w:rsid w:val="00877733"/>
    <w:rsid w:val="008825F7"/>
    <w:rsid w:val="00883D51"/>
    <w:rsid w:val="008916A4"/>
    <w:rsid w:val="00896582"/>
    <w:rsid w:val="008A2B69"/>
    <w:rsid w:val="008B7464"/>
    <w:rsid w:val="008C079D"/>
    <w:rsid w:val="008C2B01"/>
    <w:rsid w:val="008C33F9"/>
    <w:rsid w:val="008C5FA0"/>
    <w:rsid w:val="008C63FE"/>
    <w:rsid w:val="008C700A"/>
    <w:rsid w:val="008E1E11"/>
    <w:rsid w:val="008E53A6"/>
    <w:rsid w:val="008E56C5"/>
    <w:rsid w:val="008E79E1"/>
    <w:rsid w:val="008F0076"/>
    <w:rsid w:val="008F1BD3"/>
    <w:rsid w:val="008F37A5"/>
    <w:rsid w:val="008F651B"/>
    <w:rsid w:val="008F791F"/>
    <w:rsid w:val="008F7AA9"/>
    <w:rsid w:val="00900685"/>
    <w:rsid w:val="009014F9"/>
    <w:rsid w:val="0090183E"/>
    <w:rsid w:val="00901F28"/>
    <w:rsid w:val="0090376D"/>
    <w:rsid w:val="00907D98"/>
    <w:rsid w:val="00915C2C"/>
    <w:rsid w:val="0092194F"/>
    <w:rsid w:val="0092353B"/>
    <w:rsid w:val="009240C4"/>
    <w:rsid w:val="009253BF"/>
    <w:rsid w:val="00926BF8"/>
    <w:rsid w:val="0093038D"/>
    <w:rsid w:val="00932150"/>
    <w:rsid w:val="00933709"/>
    <w:rsid w:val="009340AF"/>
    <w:rsid w:val="00934493"/>
    <w:rsid w:val="00935289"/>
    <w:rsid w:val="009511AD"/>
    <w:rsid w:val="00954E6C"/>
    <w:rsid w:val="0095502F"/>
    <w:rsid w:val="009669E7"/>
    <w:rsid w:val="009671FA"/>
    <w:rsid w:val="00967E7A"/>
    <w:rsid w:val="009702CF"/>
    <w:rsid w:val="009714B6"/>
    <w:rsid w:val="009747B6"/>
    <w:rsid w:val="00977B25"/>
    <w:rsid w:val="00982378"/>
    <w:rsid w:val="009826B3"/>
    <w:rsid w:val="009829EB"/>
    <w:rsid w:val="00984E01"/>
    <w:rsid w:val="009861AB"/>
    <w:rsid w:val="009907A4"/>
    <w:rsid w:val="00992CFA"/>
    <w:rsid w:val="00992F43"/>
    <w:rsid w:val="009944F4"/>
    <w:rsid w:val="009A0136"/>
    <w:rsid w:val="009A3173"/>
    <w:rsid w:val="009A3182"/>
    <w:rsid w:val="009A7EAB"/>
    <w:rsid w:val="009B023D"/>
    <w:rsid w:val="009B1187"/>
    <w:rsid w:val="009B16D9"/>
    <w:rsid w:val="009B26BF"/>
    <w:rsid w:val="009B4008"/>
    <w:rsid w:val="009B5BF8"/>
    <w:rsid w:val="009B7E9B"/>
    <w:rsid w:val="009C1D6B"/>
    <w:rsid w:val="009D4A4E"/>
    <w:rsid w:val="009D501C"/>
    <w:rsid w:val="009E1B16"/>
    <w:rsid w:val="009E27D7"/>
    <w:rsid w:val="009E2BBB"/>
    <w:rsid w:val="009E4DA0"/>
    <w:rsid w:val="009F00FB"/>
    <w:rsid w:val="009F39CD"/>
    <w:rsid w:val="009F4CA4"/>
    <w:rsid w:val="009F5BD5"/>
    <w:rsid w:val="00A02B1A"/>
    <w:rsid w:val="00A1219F"/>
    <w:rsid w:val="00A177C8"/>
    <w:rsid w:val="00A2681F"/>
    <w:rsid w:val="00A33D02"/>
    <w:rsid w:val="00A347B0"/>
    <w:rsid w:val="00A3786E"/>
    <w:rsid w:val="00A465C2"/>
    <w:rsid w:val="00A46669"/>
    <w:rsid w:val="00A530B9"/>
    <w:rsid w:val="00A5384A"/>
    <w:rsid w:val="00A62AA4"/>
    <w:rsid w:val="00A65DDD"/>
    <w:rsid w:val="00A7223D"/>
    <w:rsid w:val="00A73466"/>
    <w:rsid w:val="00A763AC"/>
    <w:rsid w:val="00A7722D"/>
    <w:rsid w:val="00A7730C"/>
    <w:rsid w:val="00A83321"/>
    <w:rsid w:val="00A84B8B"/>
    <w:rsid w:val="00A8679F"/>
    <w:rsid w:val="00A86E35"/>
    <w:rsid w:val="00A90C33"/>
    <w:rsid w:val="00A91B2F"/>
    <w:rsid w:val="00A97254"/>
    <w:rsid w:val="00AA164F"/>
    <w:rsid w:val="00AA6087"/>
    <w:rsid w:val="00AA7B07"/>
    <w:rsid w:val="00AA7B32"/>
    <w:rsid w:val="00AB29BF"/>
    <w:rsid w:val="00AB4155"/>
    <w:rsid w:val="00AB4AE7"/>
    <w:rsid w:val="00AB50A2"/>
    <w:rsid w:val="00AB63C4"/>
    <w:rsid w:val="00AB7AB2"/>
    <w:rsid w:val="00AC19F5"/>
    <w:rsid w:val="00AC4D83"/>
    <w:rsid w:val="00AC5AF6"/>
    <w:rsid w:val="00AC73E7"/>
    <w:rsid w:val="00AD1689"/>
    <w:rsid w:val="00AD1D85"/>
    <w:rsid w:val="00AD1F75"/>
    <w:rsid w:val="00AD4B07"/>
    <w:rsid w:val="00AD7D29"/>
    <w:rsid w:val="00AE028B"/>
    <w:rsid w:val="00AE0EA9"/>
    <w:rsid w:val="00AF3296"/>
    <w:rsid w:val="00AF5D5C"/>
    <w:rsid w:val="00B013BA"/>
    <w:rsid w:val="00B016E1"/>
    <w:rsid w:val="00B02321"/>
    <w:rsid w:val="00B02BBF"/>
    <w:rsid w:val="00B03AA3"/>
    <w:rsid w:val="00B04C5C"/>
    <w:rsid w:val="00B04FCD"/>
    <w:rsid w:val="00B0540D"/>
    <w:rsid w:val="00B054A5"/>
    <w:rsid w:val="00B10419"/>
    <w:rsid w:val="00B13466"/>
    <w:rsid w:val="00B15360"/>
    <w:rsid w:val="00B1551B"/>
    <w:rsid w:val="00B21406"/>
    <w:rsid w:val="00B21756"/>
    <w:rsid w:val="00B2618E"/>
    <w:rsid w:val="00B32BF4"/>
    <w:rsid w:val="00B33D06"/>
    <w:rsid w:val="00B35547"/>
    <w:rsid w:val="00B3590F"/>
    <w:rsid w:val="00B36B04"/>
    <w:rsid w:val="00B36B69"/>
    <w:rsid w:val="00B371DC"/>
    <w:rsid w:val="00B4089C"/>
    <w:rsid w:val="00B40C3B"/>
    <w:rsid w:val="00B41581"/>
    <w:rsid w:val="00B44B38"/>
    <w:rsid w:val="00B46C15"/>
    <w:rsid w:val="00B530DA"/>
    <w:rsid w:val="00B551B3"/>
    <w:rsid w:val="00B613BC"/>
    <w:rsid w:val="00B61C6C"/>
    <w:rsid w:val="00B65522"/>
    <w:rsid w:val="00B662AB"/>
    <w:rsid w:val="00B668F0"/>
    <w:rsid w:val="00B70A01"/>
    <w:rsid w:val="00B7208F"/>
    <w:rsid w:val="00B73B69"/>
    <w:rsid w:val="00B75492"/>
    <w:rsid w:val="00B75AD6"/>
    <w:rsid w:val="00B838E0"/>
    <w:rsid w:val="00B855C4"/>
    <w:rsid w:val="00B85B3F"/>
    <w:rsid w:val="00B85F09"/>
    <w:rsid w:val="00B865C6"/>
    <w:rsid w:val="00B92C69"/>
    <w:rsid w:val="00B95015"/>
    <w:rsid w:val="00B95C2D"/>
    <w:rsid w:val="00BA09E1"/>
    <w:rsid w:val="00BA4C09"/>
    <w:rsid w:val="00BB17A9"/>
    <w:rsid w:val="00BB5D42"/>
    <w:rsid w:val="00BC1015"/>
    <w:rsid w:val="00BC43A5"/>
    <w:rsid w:val="00BC49E8"/>
    <w:rsid w:val="00BC7B0F"/>
    <w:rsid w:val="00BD061B"/>
    <w:rsid w:val="00BD6C02"/>
    <w:rsid w:val="00BE0D5D"/>
    <w:rsid w:val="00BE2B4F"/>
    <w:rsid w:val="00BE4541"/>
    <w:rsid w:val="00BE74D3"/>
    <w:rsid w:val="00BE75C1"/>
    <w:rsid w:val="00BF14BF"/>
    <w:rsid w:val="00BF3A7B"/>
    <w:rsid w:val="00C0098B"/>
    <w:rsid w:val="00C03D2B"/>
    <w:rsid w:val="00C0473E"/>
    <w:rsid w:val="00C10D3A"/>
    <w:rsid w:val="00C12E98"/>
    <w:rsid w:val="00C15CFC"/>
    <w:rsid w:val="00C20B4F"/>
    <w:rsid w:val="00C23057"/>
    <w:rsid w:val="00C241EA"/>
    <w:rsid w:val="00C261EC"/>
    <w:rsid w:val="00C2706A"/>
    <w:rsid w:val="00C272ED"/>
    <w:rsid w:val="00C3000A"/>
    <w:rsid w:val="00C32080"/>
    <w:rsid w:val="00C36784"/>
    <w:rsid w:val="00C40FED"/>
    <w:rsid w:val="00C47947"/>
    <w:rsid w:val="00C5085C"/>
    <w:rsid w:val="00C51005"/>
    <w:rsid w:val="00C55751"/>
    <w:rsid w:val="00C60BA7"/>
    <w:rsid w:val="00C627A2"/>
    <w:rsid w:val="00C67550"/>
    <w:rsid w:val="00C71610"/>
    <w:rsid w:val="00C74ED0"/>
    <w:rsid w:val="00C80264"/>
    <w:rsid w:val="00C81957"/>
    <w:rsid w:val="00C8691C"/>
    <w:rsid w:val="00C879F2"/>
    <w:rsid w:val="00C911A5"/>
    <w:rsid w:val="00C92473"/>
    <w:rsid w:val="00C93061"/>
    <w:rsid w:val="00C946F9"/>
    <w:rsid w:val="00C94C50"/>
    <w:rsid w:val="00C967B1"/>
    <w:rsid w:val="00CA05B3"/>
    <w:rsid w:val="00CA36A0"/>
    <w:rsid w:val="00CA3B36"/>
    <w:rsid w:val="00CA6001"/>
    <w:rsid w:val="00CA7C20"/>
    <w:rsid w:val="00CB7B34"/>
    <w:rsid w:val="00CB7BAB"/>
    <w:rsid w:val="00CC043D"/>
    <w:rsid w:val="00CC217D"/>
    <w:rsid w:val="00CC2E1C"/>
    <w:rsid w:val="00CC3752"/>
    <w:rsid w:val="00CC5C87"/>
    <w:rsid w:val="00CC6A73"/>
    <w:rsid w:val="00CD32D4"/>
    <w:rsid w:val="00CD426C"/>
    <w:rsid w:val="00CD4F81"/>
    <w:rsid w:val="00CD5C03"/>
    <w:rsid w:val="00CE1B8A"/>
    <w:rsid w:val="00CE474F"/>
    <w:rsid w:val="00CE794A"/>
    <w:rsid w:val="00CE7F77"/>
    <w:rsid w:val="00CF2815"/>
    <w:rsid w:val="00CF43EE"/>
    <w:rsid w:val="00CF51AB"/>
    <w:rsid w:val="00CF6A57"/>
    <w:rsid w:val="00D0212F"/>
    <w:rsid w:val="00D043C8"/>
    <w:rsid w:val="00D04636"/>
    <w:rsid w:val="00D051AF"/>
    <w:rsid w:val="00D0674E"/>
    <w:rsid w:val="00D142EB"/>
    <w:rsid w:val="00D14DD6"/>
    <w:rsid w:val="00D14FB8"/>
    <w:rsid w:val="00D16841"/>
    <w:rsid w:val="00D26F43"/>
    <w:rsid w:val="00D27862"/>
    <w:rsid w:val="00D3060E"/>
    <w:rsid w:val="00D42F81"/>
    <w:rsid w:val="00D42FFE"/>
    <w:rsid w:val="00D44271"/>
    <w:rsid w:val="00D442F6"/>
    <w:rsid w:val="00D462F7"/>
    <w:rsid w:val="00D5064E"/>
    <w:rsid w:val="00D51EB0"/>
    <w:rsid w:val="00D56070"/>
    <w:rsid w:val="00D57781"/>
    <w:rsid w:val="00D6305B"/>
    <w:rsid w:val="00D6348C"/>
    <w:rsid w:val="00D646E3"/>
    <w:rsid w:val="00D70026"/>
    <w:rsid w:val="00D7313B"/>
    <w:rsid w:val="00D731E1"/>
    <w:rsid w:val="00D74C3C"/>
    <w:rsid w:val="00D83055"/>
    <w:rsid w:val="00D84DBA"/>
    <w:rsid w:val="00D85332"/>
    <w:rsid w:val="00D90070"/>
    <w:rsid w:val="00D91B78"/>
    <w:rsid w:val="00D92F74"/>
    <w:rsid w:val="00D94362"/>
    <w:rsid w:val="00D958BA"/>
    <w:rsid w:val="00D96DB7"/>
    <w:rsid w:val="00DA003C"/>
    <w:rsid w:val="00DA1A13"/>
    <w:rsid w:val="00DB0BA6"/>
    <w:rsid w:val="00DB173E"/>
    <w:rsid w:val="00DB367E"/>
    <w:rsid w:val="00DB417F"/>
    <w:rsid w:val="00DB4D3D"/>
    <w:rsid w:val="00DB76A7"/>
    <w:rsid w:val="00DC0392"/>
    <w:rsid w:val="00DC1CD5"/>
    <w:rsid w:val="00DD202F"/>
    <w:rsid w:val="00DD2C36"/>
    <w:rsid w:val="00DD45A6"/>
    <w:rsid w:val="00DD55B1"/>
    <w:rsid w:val="00DD739B"/>
    <w:rsid w:val="00DE40E6"/>
    <w:rsid w:val="00DE45DC"/>
    <w:rsid w:val="00DE4AAB"/>
    <w:rsid w:val="00DF2FF2"/>
    <w:rsid w:val="00DF394A"/>
    <w:rsid w:val="00DF7774"/>
    <w:rsid w:val="00DF7942"/>
    <w:rsid w:val="00E0008B"/>
    <w:rsid w:val="00E00CB3"/>
    <w:rsid w:val="00E07A42"/>
    <w:rsid w:val="00E123AC"/>
    <w:rsid w:val="00E13528"/>
    <w:rsid w:val="00E14131"/>
    <w:rsid w:val="00E149EB"/>
    <w:rsid w:val="00E17EEA"/>
    <w:rsid w:val="00E2031D"/>
    <w:rsid w:val="00E20B5C"/>
    <w:rsid w:val="00E27683"/>
    <w:rsid w:val="00E27872"/>
    <w:rsid w:val="00E335F6"/>
    <w:rsid w:val="00E34D26"/>
    <w:rsid w:val="00E36099"/>
    <w:rsid w:val="00E365D2"/>
    <w:rsid w:val="00E36E36"/>
    <w:rsid w:val="00E4118A"/>
    <w:rsid w:val="00E414D6"/>
    <w:rsid w:val="00E41657"/>
    <w:rsid w:val="00E44D90"/>
    <w:rsid w:val="00E47CE4"/>
    <w:rsid w:val="00E50CC4"/>
    <w:rsid w:val="00E50EAD"/>
    <w:rsid w:val="00E55CA3"/>
    <w:rsid w:val="00E56EF5"/>
    <w:rsid w:val="00E57029"/>
    <w:rsid w:val="00E57D44"/>
    <w:rsid w:val="00E60B78"/>
    <w:rsid w:val="00E651FC"/>
    <w:rsid w:val="00E65BB7"/>
    <w:rsid w:val="00E667B6"/>
    <w:rsid w:val="00E72157"/>
    <w:rsid w:val="00E74AFE"/>
    <w:rsid w:val="00E74D55"/>
    <w:rsid w:val="00E76698"/>
    <w:rsid w:val="00E774F3"/>
    <w:rsid w:val="00E813EF"/>
    <w:rsid w:val="00E82452"/>
    <w:rsid w:val="00E93760"/>
    <w:rsid w:val="00E94638"/>
    <w:rsid w:val="00EA0308"/>
    <w:rsid w:val="00EA1E53"/>
    <w:rsid w:val="00EA3912"/>
    <w:rsid w:val="00EA5205"/>
    <w:rsid w:val="00EA7682"/>
    <w:rsid w:val="00EB0439"/>
    <w:rsid w:val="00EB1594"/>
    <w:rsid w:val="00EB3AC1"/>
    <w:rsid w:val="00EB5D59"/>
    <w:rsid w:val="00EB7A99"/>
    <w:rsid w:val="00EB7BDD"/>
    <w:rsid w:val="00EC3D2B"/>
    <w:rsid w:val="00EC7924"/>
    <w:rsid w:val="00ED09AB"/>
    <w:rsid w:val="00ED183E"/>
    <w:rsid w:val="00ED1C1B"/>
    <w:rsid w:val="00ED30F4"/>
    <w:rsid w:val="00ED55F4"/>
    <w:rsid w:val="00ED7E63"/>
    <w:rsid w:val="00EE5FAF"/>
    <w:rsid w:val="00EF3C6C"/>
    <w:rsid w:val="00EF4C44"/>
    <w:rsid w:val="00EF587B"/>
    <w:rsid w:val="00F027D9"/>
    <w:rsid w:val="00F04F8F"/>
    <w:rsid w:val="00F053F1"/>
    <w:rsid w:val="00F056E4"/>
    <w:rsid w:val="00F1122C"/>
    <w:rsid w:val="00F21CFB"/>
    <w:rsid w:val="00F22876"/>
    <w:rsid w:val="00F2403E"/>
    <w:rsid w:val="00F25637"/>
    <w:rsid w:val="00F25790"/>
    <w:rsid w:val="00F25E07"/>
    <w:rsid w:val="00F26A98"/>
    <w:rsid w:val="00F26BA2"/>
    <w:rsid w:val="00F26C50"/>
    <w:rsid w:val="00F30FCF"/>
    <w:rsid w:val="00F31A91"/>
    <w:rsid w:val="00F35954"/>
    <w:rsid w:val="00F411DA"/>
    <w:rsid w:val="00F42B92"/>
    <w:rsid w:val="00F4436B"/>
    <w:rsid w:val="00F44F8E"/>
    <w:rsid w:val="00F47DE1"/>
    <w:rsid w:val="00F51CE9"/>
    <w:rsid w:val="00F52572"/>
    <w:rsid w:val="00F52763"/>
    <w:rsid w:val="00F538EA"/>
    <w:rsid w:val="00F53972"/>
    <w:rsid w:val="00F55991"/>
    <w:rsid w:val="00F63CAF"/>
    <w:rsid w:val="00F6478D"/>
    <w:rsid w:val="00F66799"/>
    <w:rsid w:val="00F7209F"/>
    <w:rsid w:val="00F726F3"/>
    <w:rsid w:val="00F72FD4"/>
    <w:rsid w:val="00F733DD"/>
    <w:rsid w:val="00F75BBF"/>
    <w:rsid w:val="00F7621E"/>
    <w:rsid w:val="00F8319A"/>
    <w:rsid w:val="00F837AE"/>
    <w:rsid w:val="00F95FEC"/>
    <w:rsid w:val="00F96CA9"/>
    <w:rsid w:val="00F96EDC"/>
    <w:rsid w:val="00F97414"/>
    <w:rsid w:val="00FA0856"/>
    <w:rsid w:val="00FA0CC2"/>
    <w:rsid w:val="00FA4C69"/>
    <w:rsid w:val="00FA5897"/>
    <w:rsid w:val="00FA5955"/>
    <w:rsid w:val="00FA62D0"/>
    <w:rsid w:val="00FB1510"/>
    <w:rsid w:val="00FB2892"/>
    <w:rsid w:val="00FB3EE8"/>
    <w:rsid w:val="00FB67ED"/>
    <w:rsid w:val="00FB78D1"/>
    <w:rsid w:val="00FC573C"/>
    <w:rsid w:val="00FC5C79"/>
    <w:rsid w:val="00FC7A0B"/>
    <w:rsid w:val="00FD0783"/>
    <w:rsid w:val="00FE09E7"/>
    <w:rsid w:val="00FE4713"/>
    <w:rsid w:val="00FE51F4"/>
    <w:rsid w:val="00FE6048"/>
    <w:rsid w:val="00FE656A"/>
    <w:rsid w:val="00FE71A2"/>
    <w:rsid w:val="00FF0435"/>
    <w:rsid w:val="00FF0B08"/>
    <w:rsid w:val="00FF0C2E"/>
    <w:rsid w:val="00FF164D"/>
    <w:rsid w:val="00FF41E6"/>
    <w:rsid w:val="00FF795B"/>
    <w:rsid w:val="241D6E61"/>
    <w:rsid w:val="422B0AC3"/>
    <w:rsid w:val="7B823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1"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28"/>
      <w:szCs w:val="22"/>
      <w:lang w:val="en-US" w:eastAsia="zh-CN" w:bidi="ar-SA"/>
    </w:rPr>
  </w:style>
  <w:style w:type="paragraph" w:styleId="2">
    <w:name w:val="heading 1"/>
    <w:basedOn w:val="1"/>
    <w:next w:val="1"/>
    <w:link w:val="26"/>
    <w:autoRedefine/>
    <w:qFormat/>
    <w:uiPriority w:val="1"/>
    <w:pPr>
      <w:keepNext/>
      <w:keepLines/>
      <w:spacing w:before="340" w:after="330" w:line="578" w:lineRule="auto"/>
      <w:jc w:val="center"/>
      <w:outlineLvl w:val="0"/>
    </w:pPr>
    <w:rPr>
      <w:rFonts w:eastAsia="黑体"/>
      <w:b/>
      <w:bCs/>
      <w:kern w:val="44"/>
      <w:sz w:val="36"/>
      <w:szCs w:val="44"/>
    </w:rPr>
  </w:style>
  <w:style w:type="paragraph" w:styleId="3">
    <w:name w:val="heading 2"/>
    <w:basedOn w:val="1"/>
    <w:next w:val="1"/>
    <w:link w:val="27"/>
    <w:autoRedefine/>
    <w:unhideWhenUsed/>
    <w:qFormat/>
    <w:uiPriority w:val="1"/>
    <w:pPr>
      <w:keepNext/>
      <w:keepLines/>
      <w:spacing w:before="260" w:after="260" w:line="416" w:lineRule="auto"/>
      <w:outlineLvl w:val="1"/>
    </w:pPr>
    <w:rPr>
      <w:rFonts w:eastAsia="黑体" w:asciiTheme="majorHAnsi" w:hAnsiTheme="majorHAnsi" w:cstheme="majorBidi"/>
      <w:b/>
      <w:bCs/>
      <w:sz w:val="32"/>
      <w:szCs w:val="32"/>
    </w:rPr>
  </w:style>
  <w:style w:type="paragraph" w:styleId="4">
    <w:name w:val="heading 3"/>
    <w:basedOn w:val="1"/>
    <w:next w:val="1"/>
    <w:link w:val="29"/>
    <w:autoRedefine/>
    <w:unhideWhenUsed/>
    <w:qFormat/>
    <w:uiPriority w:val="9"/>
    <w:pPr>
      <w:keepNext/>
      <w:keepLines/>
      <w:spacing w:before="260" w:after="260" w:line="416" w:lineRule="auto"/>
      <w:jc w:val="left"/>
      <w:outlineLvl w:val="2"/>
    </w:pPr>
    <w:rPr>
      <w:rFonts w:eastAsia="宋体"/>
      <w:b/>
      <w:bCs/>
      <w:szCs w:val="32"/>
    </w:rPr>
  </w:style>
  <w:style w:type="character" w:default="1" w:styleId="21">
    <w:name w:val="Default Paragraph Font"/>
    <w:autoRedefine/>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5">
    <w:name w:val="Normal Indent"/>
    <w:basedOn w:val="1"/>
    <w:autoRedefine/>
    <w:unhideWhenUsed/>
    <w:qFormat/>
    <w:uiPriority w:val="0"/>
    <w:pPr>
      <w:autoSpaceDE w:val="0"/>
      <w:autoSpaceDN w:val="0"/>
      <w:ind w:firstLine="420" w:firstLineChars="200"/>
      <w:jc w:val="left"/>
    </w:pPr>
    <w:rPr>
      <w:rFonts w:ascii="宋体" w:hAnsi="宋体" w:eastAsia="宋体" w:cs="宋体"/>
      <w:kern w:val="0"/>
      <w:sz w:val="22"/>
      <w:lang w:val="zh-CN" w:bidi="zh-CN"/>
    </w:rPr>
  </w:style>
  <w:style w:type="paragraph" w:styleId="6">
    <w:name w:val="Document Map"/>
    <w:basedOn w:val="1"/>
    <w:link w:val="61"/>
    <w:autoRedefine/>
    <w:qFormat/>
    <w:uiPriority w:val="0"/>
    <w:pPr>
      <w:autoSpaceDE w:val="0"/>
      <w:autoSpaceDN w:val="0"/>
      <w:jc w:val="left"/>
    </w:pPr>
    <w:rPr>
      <w:rFonts w:ascii="宋体" w:hAnsi="宋体" w:eastAsia="宋体" w:cs="宋体"/>
      <w:kern w:val="0"/>
      <w:sz w:val="18"/>
      <w:szCs w:val="18"/>
      <w:lang w:val="zh-CN" w:eastAsia="zh-CN" w:bidi="zh-CN"/>
    </w:rPr>
  </w:style>
  <w:style w:type="paragraph" w:styleId="7">
    <w:name w:val="annotation text"/>
    <w:basedOn w:val="1"/>
    <w:link w:val="52"/>
    <w:autoRedefine/>
    <w:qFormat/>
    <w:uiPriority w:val="0"/>
    <w:pPr>
      <w:autoSpaceDE w:val="0"/>
      <w:autoSpaceDN w:val="0"/>
      <w:jc w:val="left"/>
    </w:pPr>
    <w:rPr>
      <w:rFonts w:ascii="宋体" w:hAnsi="宋体" w:eastAsia="宋体" w:cs="宋体"/>
      <w:kern w:val="0"/>
      <w:sz w:val="22"/>
      <w:lang w:val="zh-CN" w:bidi="zh-CN"/>
    </w:rPr>
  </w:style>
  <w:style w:type="paragraph" w:styleId="8">
    <w:name w:val="Body Text"/>
    <w:basedOn w:val="1"/>
    <w:link w:val="33"/>
    <w:autoRedefine/>
    <w:qFormat/>
    <w:uiPriority w:val="1"/>
    <w:pPr>
      <w:autoSpaceDE w:val="0"/>
      <w:autoSpaceDN w:val="0"/>
      <w:spacing w:line="360" w:lineRule="auto"/>
      <w:ind w:firstLine="200" w:firstLineChars="200"/>
      <w:jc w:val="left"/>
    </w:pPr>
    <w:rPr>
      <w:rFonts w:ascii="Times New Roman" w:hAnsi="Times New Roman" w:eastAsia="宋体" w:cs="宋体"/>
      <w:kern w:val="0"/>
      <w:sz w:val="24"/>
      <w:szCs w:val="24"/>
      <w:lang w:val="zh-CN" w:bidi="zh-CN"/>
    </w:rPr>
  </w:style>
  <w:style w:type="paragraph" w:styleId="9">
    <w:name w:val="Body Text Indent"/>
    <w:basedOn w:val="1"/>
    <w:link w:val="39"/>
    <w:autoRedefine/>
    <w:semiHidden/>
    <w:unhideWhenUsed/>
    <w:qFormat/>
    <w:uiPriority w:val="99"/>
    <w:pPr>
      <w:spacing w:after="120"/>
      <w:ind w:left="420" w:leftChars="200"/>
    </w:pPr>
  </w:style>
  <w:style w:type="paragraph" w:styleId="10">
    <w:name w:val="toc 3"/>
    <w:basedOn w:val="1"/>
    <w:next w:val="1"/>
    <w:autoRedefine/>
    <w:unhideWhenUsed/>
    <w:uiPriority w:val="39"/>
    <w:pPr>
      <w:widowControl/>
      <w:spacing w:after="100" w:line="259" w:lineRule="auto"/>
      <w:ind w:left="440"/>
      <w:jc w:val="left"/>
    </w:pPr>
    <w:rPr>
      <w:rFonts w:cs="Times New Roman" w:eastAsiaTheme="minorEastAsia"/>
      <w:kern w:val="0"/>
      <w:sz w:val="22"/>
    </w:rPr>
  </w:style>
  <w:style w:type="paragraph" w:styleId="11">
    <w:name w:val="Balloon Text"/>
    <w:basedOn w:val="1"/>
    <w:link w:val="63"/>
    <w:autoRedefine/>
    <w:unhideWhenUsed/>
    <w:uiPriority w:val="99"/>
    <w:pPr>
      <w:autoSpaceDE w:val="0"/>
      <w:autoSpaceDN w:val="0"/>
      <w:jc w:val="left"/>
    </w:pPr>
    <w:rPr>
      <w:rFonts w:ascii="宋体" w:hAnsi="宋体" w:eastAsia="宋体" w:cs="宋体"/>
      <w:kern w:val="0"/>
      <w:sz w:val="18"/>
      <w:szCs w:val="18"/>
      <w:lang w:val="zh-CN" w:eastAsia="zh-CN" w:bidi="zh-CN"/>
    </w:rPr>
  </w:style>
  <w:style w:type="paragraph" w:styleId="12">
    <w:name w:val="footer"/>
    <w:basedOn w:val="1"/>
    <w:link w:val="31"/>
    <w:unhideWhenUsed/>
    <w:uiPriority w:val="99"/>
    <w:pPr>
      <w:tabs>
        <w:tab w:val="center" w:pos="4153"/>
        <w:tab w:val="right" w:pos="8306"/>
      </w:tabs>
      <w:snapToGrid w:val="0"/>
      <w:jc w:val="left"/>
    </w:pPr>
    <w:rPr>
      <w:sz w:val="18"/>
      <w:szCs w:val="18"/>
    </w:rPr>
  </w:style>
  <w:style w:type="paragraph" w:styleId="13">
    <w:name w:val="header"/>
    <w:basedOn w:val="1"/>
    <w:link w:val="30"/>
    <w:unhideWhenUsed/>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unhideWhenUsed/>
    <w:uiPriority w:val="39"/>
    <w:pPr>
      <w:widowControl/>
      <w:tabs>
        <w:tab w:val="right" w:leader="dot" w:pos="8296"/>
      </w:tabs>
      <w:spacing w:after="100" w:line="259" w:lineRule="auto"/>
      <w:jc w:val="left"/>
    </w:pPr>
    <w:rPr>
      <w:rFonts w:cs="Times New Roman" w:eastAsiaTheme="minorEastAsia"/>
      <w:kern w:val="0"/>
      <w:sz w:val="22"/>
    </w:rPr>
  </w:style>
  <w:style w:type="paragraph" w:styleId="15">
    <w:name w:val="toc 2"/>
    <w:basedOn w:val="1"/>
    <w:next w:val="1"/>
    <w:autoRedefine/>
    <w:unhideWhenUsed/>
    <w:qFormat/>
    <w:uiPriority w:val="39"/>
    <w:pPr>
      <w:widowControl/>
      <w:spacing w:after="100" w:line="259" w:lineRule="auto"/>
      <w:ind w:left="220"/>
      <w:jc w:val="left"/>
    </w:pPr>
    <w:rPr>
      <w:rFonts w:cs="Times New Roman" w:eastAsiaTheme="minorEastAsia"/>
      <w:kern w:val="0"/>
      <w:sz w:val="22"/>
    </w:rPr>
  </w:style>
  <w:style w:type="paragraph" w:styleId="16">
    <w:name w:val="Body Text 2"/>
    <w:basedOn w:val="1"/>
    <w:link w:val="36"/>
    <w:autoRedefine/>
    <w:semiHidden/>
    <w:unhideWhenUsed/>
    <w:qFormat/>
    <w:uiPriority w:val="99"/>
    <w:pPr>
      <w:spacing w:after="120" w:line="480" w:lineRule="auto"/>
    </w:pPr>
  </w:style>
  <w:style w:type="paragraph" w:styleId="17">
    <w:name w:val="Normal (Web)"/>
    <w:basedOn w:val="1"/>
    <w:autoRedefine/>
    <w:uiPriority w:val="0"/>
    <w:pPr>
      <w:autoSpaceDE w:val="0"/>
      <w:autoSpaceDN w:val="0"/>
      <w:spacing w:before="100" w:beforeAutospacing="1" w:after="100" w:afterAutospacing="1"/>
      <w:jc w:val="left"/>
    </w:pPr>
    <w:rPr>
      <w:rFonts w:ascii="宋体" w:hAnsi="宋体" w:eastAsia="宋体" w:cs="Times New Roman"/>
      <w:kern w:val="0"/>
      <w:sz w:val="24"/>
    </w:rPr>
  </w:style>
  <w:style w:type="paragraph" w:styleId="18">
    <w:name w:val="Body Text First Indent 2"/>
    <w:basedOn w:val="9"/>
    <w:link w:val="40"/>
    <w:semiHidden/>
    <w:unhideWhenUsed/>
    <w:uiPriority w:val="99"/>
    <w:pPr>
      <w:ind w:firstLine="420" w:firstLineChars="200"/>
    </w:pPr>
  </w:style>
  <w:style w:type="table" w:styleId="20">
    <w:name w:val="Table Grid"/>
    <w:basedOn w:val="19"/>
    <w:autoRedefine/>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autoRedefine/>
    <w:qFormat/>
    <w:uiPriority w:val="0"/>
    <w:rPr>
      <w:b/>
    </w:rPr>
  </w:style>
  <w:style w:type="character" w:styleId="23">
    <w:name w:val="FollowedHyperlink"/>
    <w:autoRedefine/>
    <w:unhideWhenUsed/>
    <w:uiPriority w:val="99"/>
    <w:rPr>
      <w:color w:val="800080"/>
      <w:u w:val="single"/>
    </w:rPr>
  </w:style>
  <w:style w:type="character" w:styleId="24">
    <w:name w:val="Hyperlink"/>
    <w:basedOn w:val="21"/>
    <w:unhideWhenUsed/>
    <w:uiPriority w:val="99"/>
    <w:rPr>
      <w:color w:val="0563C1" w:themeColor="hyperlink"/>
      <w:u w:val="single"/>
      <w14:textFill>
        <w14:solidFill>
          <w14:schemeClr w14:val="hlink"/>
        </w14:solidFill>
      </w14:textFill>
    </w:rPr>
  </w:style>
  <w:style w:type="character" w:styleId="25">
    <w:name w:val="annotation reference"/>
    <w:autoRedefine/>
    <w:uiPriority w:val="0"/>
    <w:rPr>
      <w:sz w:val="21"/>
      <w:szCs w:val="21"/>
    </w:rPr>
  </w:style>
  <w:style w:type="character" w:customStyle="1" w:styleId="26">
    <w:name w:val="标题 1 字符"/>
    <w:basedOn w:val="21"/>
    <w:link w:val="2"/>
    <w:uiPriority w:val="9"/>
    <w:rPr>
      <w:rFonts w:eastAsia="黑体"/>
      <w:b/>
      <w:bCs/>
      <w:kern w:val="44"/>
      <w:sz w:val="36"/>
      <w:szCs w:val="44"/>
    </w:rPr>
  </w:style>
  <w:style w:type="character" w:customStyle="1" w:styleId="27">
    <w:name w:val="标题 2 字符"/>
    <w:basedOn w:val="21"/>
    <w:link w:val="3"/>
    <w:uiPriority w:val="9"/>
    <w:rPr>
      <w:rFonts w:eastAsia="黑体" w:asciiTheme="majorHAnsi" w:hAnsiTheme="majorHAnsi" w:cstheme="majorBidi"/>
      <w:b/>
      <w:bCs/>
      <w:sz w:val="32"/>
      <w:szCs w:val="32"/>
    </w:rPr>
  </w:style>
  <w:style w:type="paragraph" w:styleId="28">
    <w:name w:val="List Paragraph"/>
    <w:basedOn w:val="1"/>
    <w:qFormat/>
    <w:uiPriority w:val="34"/>
    <w:pPr>
      <w:ind w:firstLine="420" w:firstLineChars="200"/>
    </w:pPr>
  </w:style>
  <w:style w:type="character" w:customStyle="1" w:styleId="29">
    <w:name w:val="标题 3 字符"/>
    <w:basedOn w:val="21"/>
    <w:link w:val="4"/>
    <w:uiPriority w:val="9"/>
    <w:rPr>
      <w:rFonts w:eastAsia="宋体"/>
      <w:b/>
      <w:bCs/>
      <w:sz w:val="28"/>
      <w:szCs w:val="32"/>
    </w:rPr>
  </w:style>
  <w:style w:type="character" w:customStyle="1" w:styleId="30">
    <w:name w:val="页眉 字符"/>
    <w:basedOn w:val="21"/>
    <w:link w:val="13"/>
    <w:autoRedefine/>
    <w:uiPriority w:val="99"/>
    <w:rPr>
      <w:rFonts w:eastAsia="仿宋_GB2312"/>
      <w:sz w:val="18"/>
      <w:szCs w:val="18"/>
    </w:rPr>
  </w:style>
  <w:style w:type="character" w:customStyle="1" w:styleId="31">
    <w:name w:val="页脚 字符"/>
    <w:basedOn w:val="21"/>
    <w:link w:val="12"/>
    <w:uiPriority w:val="99"/>
    <w:rPr>
      <w:rFonts w:eastAsia="仿宋_GB2312"/>
      <w:sz w:val="18"/>
      <w:szCs w:val="18"/>
    </w:rPr>
  </w:style>
  <w:style w:type="paragraph" w:customStyle="1" w:styleId="32">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33">
    <w:name w:val="正文文本 字符"/>
    <w:basedOn w:val="21"/>
    <w:link w:val="8"/>
    <w:autoRedefine/>
    <w:qFormat/>
    <w:uiPriority w:val="1"/>
    <w:rPr>
      <w:rFonts w:ascii="Times New Roman" w:hAnsi="Times New Roman" w:eastAsia="宋体" w:cs="宋体"/>
      <w:kern w:val="0"/>
      <w:sz w:val="24"/>
      <w:szCs w:val="24"/>
      <w:lang w:val="zh-CN" w:bidi="zh-CN"/>
    </w:rPr>
  </w:style>
  <w:style w:type="paragraph" w:customStyle="1" w:styleId="34">
    <w:name w:val="BodyText1I2"/>
    <w:basedOn w:val="1"/>
    <w:autoRedefine/>
    <w:qFormat/>
    <w:uiPriority w:val="0"/>
    <w:pPr>
      <w:spacing w:after="120"/>
      <w:ind w:left="420" w:leftChars="200" w:firstLine="420" w:firstLineChars="200"/>
      <w:textAlignment w:val="baseline"/>
    </w:pPr>
    <w:rPr>
      <w:rFonts w:ascii="Calibri" w:hAnsi="Calibri" w:eastAsia="宋体" w:cs="Times New Roman"/>
      <w:sz w:val="21"/>
      <w:szCs w:val="24"/>
    </w:rPr>
  </w:style>
  <w:style w:type="paragraph" w:customStyle="1" w:styleId="35">
    <w:name w:val="图表标题"/>
    <w:basedOn w:val="8"/>
    <w:autoRedefine/>
    <w:qFormat/>
    <w:uiPriority w:val="1"/>
    <w:pPr>
      <w:spacing w:line="240" w:lineRule="auto"/>
      <w:ind w:firstLine="0" w:firstLineChars="0"/>
      <w:jc w:val="center"/>
    </w:pPr>
    <w:rPr>
      <w:rFonts w:cs="Times New Roman"/>
      <w:sz w:val="21"/>
      <w:lang w:val="en-US"/>
    </w:rPr>
  </w:style>
  <w:style w:type="character" w:customStyle="1" w:styleId="36">
    <w:name w:val="正文文本 2 字符"/>
    <w:basedOn w:val="21"/>
    <w:link w:val="16"/>
    <w:autoRedefine/>
    <w:semiHidden/>
    <w:qFormat/>
    <w:uiPriority w:val="99"/>
    <w:rPr>
      <w:rFonts w:eastAsia="仿宋_GB2312"/>
      <w:sz w:val="28"/>
    </w:rPr>
  </w:style>
  <w:style w:type="paragraph" w:customStyle="1" w:styleId="37">
    <w:name w:val="表格"/>
    <w:basedOn w:val="8"/>
    <w:autoRedefine/>
    <w:qFormat/>
    <w:uiPriority w:val="1"/>
    <w:pPr>
      <w:spacing w:line="240" w:lineRule="auto"/>
      <w:ind w:firstLine="0" w:firstLineChars="0"/>
      <w:jc w:val="center"/>
    </w:pPr>
    <w:rPr>
      <w:rFonts w:cs="Times New Roman"/>
      <w:sz w:val="21"/>
      <w:lang w:val="en-US"/>
    </w:rPr>
  </w:style>
  <w:style w:type="paragraph" w:customStyle="1" w:styleId="38">
    <w:name w:val="正文文本首行缩进1"/>
    <w:basedOn w:val="8"/>
    <w:next w:val="1"/>
    <w:autoRedefine/>
    <w:qFormat/>
    <w:uiPriority w:val="0"/>
    <w:pPr>
      <w:widowControl/>
      <w:ind w:firstLine="420" w:firstLineChars="0"/>
    </w:pPr>
    <w:rPr>
      <w:rFonts w:ascii="Calibri" w:hAnsi="Calibri" w:eastAsia="Arial Unicode MS" w:cs="Arial Unicode MS"/>
      <w:color w:val="000000"/>
      <w:kern w:val="2"/>
      <w:sz w:val="28"/>
      <w:szCs w:val="28"/>
      <w:u w:color="000000"/>
    </w:rPr>
  </w:style>
  <w:style w:type="character" w:customStyle="1" w:styleId="39">
    <w:name w:val="正文文本缩进 字符"/>
    <w:basedOn w:val="21"/>
    <w:link w:val="9"/>
    <w:autoRedefine/>
    <w:semiHidden/>
    <w:qFormat/>
    <w:uiPriority w:val="99"/>
    <w:rPr>
      <w:rFonts w:eastAsia="仿宋_GB2312"/>
      <w:sz w:val="28"/>
    </w:rPr>
  </w:style>
  <w:style w:type="character" w:customStyle="1" w:styleId="40">
    <w:name w:val="正文文本首行缩进 2 字符"/>
    <w:basedOn w:val="39"/>
    <w:link w:val="18"/>
    <w:autoRedefine/>
    <w:semiHidden/>
    <w:qFormat/>
    <w:uiPriority w:val="99"/>
    <w:rPr>
      <w:rFonts w:eastAsia="仿宋_GB2312"/>
      <w:sz w:val="28"/>
    </w:rPr>
  </w:style>
  <w:style w:type="paragraph" w:customStyle="1" w:styleId="41">
    <w:name w:val="正文文本首行缩进 21"/>
    <w:basedOn w:val="1"/>
    <w:autoRedefine/>
    <w:qFormat/>
    <w:uiPriority w:val="0"/>
    <w:pPr>
      <w:spacing w:before="100" w:beforeAutospacing="1" w:after="120" w:line="360" w:lineRule="auto"/>
      <w:ind w:left="420" w:leftChars="200" w:firstLine="420"/>
    </w:pPr>
    <w:rPr>
      <w:rFonts w:ascii="Calibri" w:hAnsi="Calibri" w:eastAsia="Arial Unicode MS" w:cs="Arial Unicode MS"/>
      <w:color w:val="000000"/>
      <w:sz w:val="21"/>
      <w:szCs w:val="24"/>
      <w:u w:color="000000"/>
    </w:rPr>
  </w:style>
  <w:style w:type="paragraph" w:customStyle="1" w:styleId="42">
    <w:name w:val="文本"/>
    <w:basedOn w:val="1"/>
    <w:link w:val="43"/>
    <w:autoRedefine/>
    <w:qFormat/>
    <w:uiPriority w:val="0"/>
    <w:pPr>
      <w:adjustRightInd w:val="0"/>
      <w:snapToGrid w:val="0"/>
      <w:spacing w:line="360" w:lineRule="auto"/>
      <w:ind w:firstLine="200" w:firstLineChars="200"/>
    </w:pPr>
    <w:rPr>
      <w:rFonts w:ascii="Times New Roman" w:hAnsi="Times New Roman" w:eastAsia="仿宋" w:cs="Times New Roman"/>
    </w:rPr>
  </w:style>
  <w:style w:type="character" w:customStyle="1" w:styleId="43">
    <w:name w:val="文本 Char"/>
    <w:link w:val="42"/>
    <w:autoRedefine/>
    <w:qFormat/>
    <w:uiPriority w:val="0"/>
    <w:rPr>
      <w:rFonts w:ascii="Times New Roman" w:hAnsi="Times New Roman" w:eastAsia="仿宋" w:cs="Times New Roman"/>
      <w:sz w:val="28"/>
    </w:rPr>
  </w:style>
  <w:style w:type="character" w:customStyle="1" w:styleId="44">
    <w:name w:val="Body Text First Indent Char Char"/>
    <w:link w:val="45"/>
    <w:autoRedefine/>
    <w:uiPriority w:val="0"/>
    <w:rPr>
      <w:rFonts w:ascii="Calibri" w:hAnsi="Calibri" w:eastAsia="Arial Unicode MS"/>
      <w:color w:val="000000"/>
      <w:sz w:val="28"/>
      <w:szCs w:val="28"/>
      <w:u w:color="000000"/>
    </w:rPr>
  </w:style>
  <w:style w:type="paragraph" w:customStyle="1" w:styleId="45">
    <w:name w:val="Body Text First Indent1"/>
    <w:basedOn w:val="8"/>
    <w:next w:val="1"/>
    <w:link w:val="44"/>
    <w:autoRedefine/>
    <w:uiPriority w:val="0"/>
    <w:pPr>
      <w:autoSpaceDE/>
      <w:autoSpaceDN/>
      <w:ind w:firstLine="420" w:firstLineChars="0"/>
      <w:jc w:val="both"/>
    </w:pPr>
    <w:rPr>
      <w:rFonts w:ascii="Calibri" w:hAnsi="Calibri" w:eastAsia="Arial Unicode MS" w:cstheme="minorBidi"/>
      <w:color w:val="000000"/>
      <w:kern w:val="2"/>
      <w:sz w:val="28"/>
      <w:szCs w:val="28"/>
      <w:u w:color="000000"/>
      <w:lang w:val="en-US" w:bidi="ar-SA"/>
    </w:rPr>
  </w:style>
  <w:style w:type="character" w:customStyle="1" w:styleId="46">
    <w:name w:val="标题 3 Char Char"/>
    <w:autoRedefine/>
    <w:qFormat/>
    <w:uiPriority w:val="0"/>
    <w:rPr>
      <w:rFonts w:hint="eastAsia" w:ascii="宋体" w:hAnsi="宋体" w:eastAsia="宋体"/>
      <w:b/>
      <w:bCs/>
      <w:kern w:val="2"/>
      <w:sz w:val="28"/>
      <w:szCs w:val="28"/>
      <w:lang w:val="en-US" w:eastAsia="zh-CN" w:bidi="ar-SA"/>
    </w:rPr>
  </w:style>
  <w:style w:type="character" w:customStyle="1" w:styleId="47">
    <w:name w:val="font01"/>
    <w:autoRedefine/>
    <w:uiPriority w:val="0"/>
    <w:rPr>
      <w:rFonts w:hint="eastAsia" w:ascii="等线" w:hAnsi="等线" w:eastAsia="等线" w:cs="等线"/>
      <w:color w:val="000000"/>
      <w:sz w:val="22"/>
      <w:szCs w:val="22"/>
      <w:u w:val="none"/>
    </w:rPr>
  </w:style>
  <w:style w:type="character" w:customStyle="1" w:styleId="48">
    <w:name w:val="font11"/>
    <w:autoRedefine/>
    <w:qFormat/>
    <w:uiPriority w:val="0"/>
    <w:rPr>
      <w:rFonts w:hint="default" w:ascii="Times New Roman" w:hAnsi="Times New Roman" w:cs="Times New Roman"/>
      <w:color w:val="000000"/>
      <w:sz w:val="20"/>
      <w:szCs w:val="20"/>
      <w:u w:val="none"/>
    </w:rPr>
  </w:style>
  <w:style w:type="paragraph" w:customStyle="1" w:styleId="49">
    <w:name w:val="列出段落"/>
    <w:basedOn w:val="1"/>
    <w:autoRedefine/>
    <w:qFormat/>
    <w:uiPriority w:val="1"/>
    <w:pPr>
      <w:autoSpaceDE w:val="0"/>
      <w:autoSpaceDN w:val="0"/>
      <w:spacing w:before="94"/>
      <w:ind w:left="980" w:right="127" w:hanging="981"/>
      <w:jc w:val="right"/>
    </w:pPr>
    <w:rPr>
      <w:rFonts w:ascii="宋体" w:hAnsi="宋体" w:eastAsia="宋体" w:cs="宋体"/>
      <w:kern w:val="0"/>
      <w:sz w:val="22"/>
      <w:lang w:val="zh-CN" w:bidi="zh-CN"/>
    </w:rPr>
  </w:style>
  <w:style w:type="paragraph" w:customStyle="1" w:styleId="50">
    <w:name w:val="目录 21"/>
    <w:basedOn w:val="1"/>
    <w:next w:val="1"/>
    <w:autoRedefine/>
    <w:qFormat/>
    <w:uiPriority w:val="39"/>
    <w:pPr>
      <w:autoSpaceDE w:val="0"/>
      <w:autoSpaceDN w:val="0"/>
      <w:ind w:left="420" w:leftChars="200"/>
      <w:jc w:val="left"/>
    </w:pPr>
    <w:rPr>
      <w:rFonts w:ascii="宋体" w:hAnsi="宋体" w:eastAsia="宋体" w:cs="宋体"/>
      <w:kern w:val="0"/>
      <w:sz w:val="22"/>
      <w:lang w:val="zh-CN" w:bidi="zh-CN"/>
    </w:rPr>
  </w:style>
  <w:style w:type="paragraph" w:customStyle="1" w:styleId="51">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character" w:customStyle="1" w:styleId="52">
    <w:name w:val="批注文字 字符"/>
    <w:basedOn w:val="21"/>
    <w:link w:val="7"/>
    <w:autoRedefine/>
    <w:qFormat/>
    <w:uiPriority w:val="0"/>
    <w:rPr>
      <w:rFonts w:ascii="宋体" w:hAnsi="宋体" w:eastAsia="宋体" w:cs="宋体"/>
      <w:kern w:val="0"/>
      <w:sz w:val="22"/>
      <w:lang w:val="zh-CN" w:bidi="zh-CN"/>
    </w:rPr>
  </w:style>
  <w:style w:type="paragraph" w:customStyle="1" w:styleId="53">
    <w:name w:val="目录 11"/>
    <w:basedOn w:val="1"/>
    <w:next w:val="1"/>
    <w:autoRedefine/>
    <w:uiPriority w:val="39"/>
    <w:pPr>
      <w:autoSpaceDE w:val="0"/>
      <w:autoSpaceDN w:val="0"/>
      <w:jc w:val="left"/>
    </w:pPr>
    <w:rPr>
      <w:rFonts w:ascii="宋体" w:hAnsi="宋体" w:eastAsia="宋体" w:cs="宋体"/>
      <w:kern w:val="0"/>
      <w:sz w:val="22"/>
      <w:lang w:val="zh-CN" w:bidi="zh-CN"/>
    </w:rPr>
  </w:style>
  <w:style w:type="paragraph" w:customStyle="1" w:styleId="54">
    <w:name w:val="WPSOffice手动目录 2"/>
    <w:autoRedefine/>
    <w:uiPriority w:val="0"/>
    <w:pPr>
      <w:ind w:left="200" w:leftChars="200"/>
    </w:pPr>
    <w:rPr>
      <w:rFonts w:ascii="Calibri" w:hAnsi="Calibri" w:eastAsia="宋体" w:cs="Times New Roman"/>
      <w:kern w:val="0"/>
      <w:sz w:val="20"/>
      <w:szCs w:val="20"/>
      <w:lang w:val="en-US" w:eastAsia="zh-CN" w:bidi="ar-SA"/>
    </w:rPr>
  </w:style>
  <w:style w:type="paragraph" w:customStyle="1" w:styleId="55">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customStyle="1" w:styleId="56">
    <w:name w:val="一级条标题"/>
    <w:next w:val="51"/>
    <w:autoRedefine/>
    <w:qFormat/>
    <w:uiPriority w:val="0"/>
    <w:pPr>
      <w:numPr>
        <w:ilvl w:val="1"/>
        <w:numId w:val="1"/>
      </w:numPr>
      <w:spacing w:beforeLines="50" w:afterLines="50"/>
      <w:outlineLvl w:val="2"/>
    </w:pPr>
    <w:rPr>
      <w:rFonts w:ascii="黑体" w:hAnsi="Times New Roman" w:eastAsia="黑体" w:cs="Times New Roman"/>
      <w:kern w:val="0"/>
      <w:sz w:val="21"/>
      <w:szCs w:val="21"/>
      <w:lang w:val="en-US" w:eastAsia="zh-CN" w:bidi="ar-SA"/>
    </w:rPr>
  </w:style>
  <w:style w:type="paragraph" w:customStyle="1" w:styleId="57">
    <w:name w:val="WPSOffice手动目录 1"/>
    <w:autoRedefine/>
    <w:qFormat/>
    <w:uiPriority w:val="0"/>
    <w:rPr>
      <w:rFonts w:ascii="Calibri" w:hAnsi="Calibri" w:eastAsia="宋体" w:cs="Times New Roman"/>
      <w:kern w:val="0"/>
      <w:sz w:val="20"/>
      <w:szCs w:val="20"/>
      <w:lang w:val="en-US" w:eastAsia="zh-CN" w:bidi="ar-SA"/>
    </w:rPr>
  </w:style>
  <w:style w:type="paragraph" w:customStyle="1" w:styleId="58">
    <w:name w:val="样式 文本正文 + 宋体 四号 两端对齐 段后: 0 磅 行距: 固定值 24 磅"/>
    <w:basedOn w:val="1"/>
    <w:autoRedefine/>
    <w:uiPriority w:val="0"/>
    <w:pPr>
      <w:widowControl/>
      <w:autoSpaceDE w:val="0"/>
      <w:autoSpaceDN w:val="0"/>
      <w:spacing w:line="480" w:lineRule="exact"/>
      <w:ind w:firstLine="560" w:firstLineChars="200"/>
      <w:jc w:val="left"/>
    </w:pPr>
    <w:rPr>
      <w:rFonts w:ascii="宋体" w:hAnsi="宋体" w:cs="宋体"/>
      <w:color w:val="000000"/>
      <w:kern w:val="0"/>
      <w:szCs w:val="20"/>
      <w:lang w:val="zh-CN" w:eastAsia="en-US" w:bidi="en-US"/>
    </w:rPr>
  </w:style>
  <w:style w:type="table" w:customStyle="1" w:styleId="59">
    <w:name w:val="Table Normal"/>
    <w:autoRedefine/>
    <w:unhideWhenUsed/>
    <w:qFormat/>
    <w:uiPriority w:val="2"/>
    <w:rPr>
      <w:rFonts w:ascii="Calibri" w:hAnsi="Calibri" w:eastAsia="宋体" w:cs="Times New Roman"/>
      <w:kern w:val="0"/>
      <w:sz w:val="20"/>
      <w:szCs w:val="20"/>
    </w:rPr>
    <w:tblPr>
      <w:tblCellMar>
        <w:top w:w="0" w:type="dxa"/>
        <w:left w:w="0" w:type="dxa"/>
        <w:bottom w:w="0" w:type="dxa"/>
        <w:right w:w="0" w:type="dxa"/>
      </w:tblCellMar>
    </w:tblPr>
  </w:style>
  <w:style w:type="character" w:customStyle="1" w:styleId="60">
    <w:name w:val="文档结构图 字符"/>
    <w:basedOn w:val="21"/>
    <w:autoRedefine/>
    <w:uiPriority w:val="0"/>
    <w:rPr>
      <w:rFonts w:ascii="Microsoft YaHei UI" w:eastAsia="Microsoft YaHei UI"/>
      <w:sz w:val="18"/>
      <w:szCs w:val="18"/>
    </w:rPr>
  </w:style>
  <w:style w:type="character" w:customStyle="1" w:styleId="61">
    <w:name w:val="文档结构图 字符1"/>
    <w:link w:val="6"/>
    <w:autoRedefine/>
    <w:qFormat/>
    <w:uiPriority w:val="0"/>
    <w:rPr>
      <w:rFonts w:ascii="宋体" w:hAnsi="宋体" w:eastAsia="宋体" w:cs="宋体"/>
      <w:kern w:val="0"/>
      <w:sz w:val="18"/>
      <w:szCs w:val="18"/>
      <w:lang w:val="zh-CN" w:eastAsia="zh-CN" w:bidi="zh-CN"/>
    </w:rPr>
  </w:style>
  <w:style w:type="character" w:customStyle="1" w:styleId="62">
    <w:name w:val="批注框文本 字符"/>
    <w:basedOn w:val="21"/>
    <w:autoRedefine/>
    <w:uiPriority w:val="99"/>
    <w:rPr>
      <w:rFonts w:eastAsia="仿宋_GB2312"/>
      <w:sz w:val="18"/>
      <w:szCs w:val="18"/>
    </w:rPr>
  </w:style>
  <w:style w:type="character" w:customStyle="1" w:styleId="63">
    <w:name w:val="批注框文本 字符1"/>
    <w:link w:val="11"/>
    <w:autoRedefine/>
    <w:qFormat/>
    <w:uiPriority w:val="99"/>
    <w:rPr>
      <w:rFonts w:ascii="宋体" w:hAnsi="宋体" w:eastAsia="宋体" w:cs="宋体"/>
      <w:kern w:val="0"/>
      <w:sz w:val="18"/>
      <w:szCs w:val="18"/>
      <w:lang w:val="zh-CN" w:eastAsia="zh-CN" w:bidi="zh-CN"/>
    </w:rPr>
  </w:style>
  <w:style w:type="paragraph" w:customStyle="1" w:styleId="64">
    <w:name w:val="msonormal"/>
    <w:basedOn w:val="1"/>
    <w:autoRedefine/>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font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66">
    <w:name w:val="xl58"/>
    <w:basedOn w:val="1"/>
    <w:autoRedefine/>
    <w:uiPriority w:val="0"/>
    <w:pPr>
      <w:widowControl/>
      <w:pBdr>
        <w:top w:val="single" w:color="999999" w:sz="4" w:space="0"/>
        <w:left w:val="single" w:color="999999" w:sz="4" w:space="0"/>
      </w:pBdr>
      <w:spacing w:before="100" w:beforeAutospacing="1" w:after="100" w:afterAutospacing="1"/>
      <w:jc w:val="center"/>
    </w:pPr>
    <w:rPr>
      <w:rFonts w:ascii="宋体" w:hAnsi="宋体" w:eastAsia="宋体" w:cs="宋体"/>
      <w:kern w:val="0"/>
      <w:sz w:val="24"/>
      <w:szCs w:val="24"/>
    </w:rPr>
  </w:style>
  <w:style w:type="paragraph" w:customStyle="1" w:styleId="67">
    <w:name w:val="xl59"/>
    <w:basedOn w:val="1"/>
    <w:autoRedefine/>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68">
    <w:name w:val="xl60"/>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69">
    <w:name w:val="xl61"/>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0">
    <w:name w:val="xl62"/>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1">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2">
    <w:name w:val="xl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3">
    <w:name w:val="xl65"/>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5">
    <w:name w:val="xl6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6">
    <w:name w:val="xl6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7">
    <w:name w:val="xl6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8">
    <w:name w:val="xl70"/>
    <w:basedOn w:val="1"/>
    <w:autoRedefine/>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9">
    <w:name w:val="xl7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80">
    <w:name w:val="xl7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81">
    <w:name w:val="xl73"/>
    <w:basedOn w:val="1"/>
    <w:autoRedefine/>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character" w:customStyle="1" w:styleId="82">
    <w:name w:val="文本正文 Char Char"/>
    <w:autoRedefine/>
    <w:qFormat/>
    <w:uiPriority w:val="0"/>
    <w:rPr>
      <w:rFonts w:ascii="Calibri" w:hAnsi="Calibri" w:eastAsia="宋体"/>
      <w:color w:val="000000"/>
      <w:sz w:val="24"/>
      <w:szCs w:val="22"/>
      <w:lang w:val="en-US" w:eastAsia="en-US" w:bidi="en-US"/>
    </w:rPr>
  </w:style>
  <w:style w:type="paragraph" w:customStyle="1" w:styleId="83">
    <w:name w:val="font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84">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1"/>
      <w:szCs w:val="21"/>
    </w:rPr>
  </w:style>
  <w:style w:type="paragraph" w:customStyle="1" w:styleId="85">
    <w:name w:val="font8"/>
    <w:basedOn w:val="1"/>
    <w:autoRedefine/>
    <w:qFormat/>
    <w:uiPriority w:val="0"/>
    <w:pPr>
      <w:widowControl/>
      <w:spacing w:before="100" w:beforeAutospacing="1" w:after="100" w:afterAutospacing="1"/>
      <w:jc w:val="left"/>
    </w:pPr>
    <w:rPr>
      <w:rFonts w:ascii="Times New Roman" w:hAnsi="Times New Roman" w:eastAsia="宋体" w:cs="Times New Roman"/>
      <w:kern w:val="0"/>
      <w:sz w:val="21"/>
      <w:szCs w:val="21"/>
    </w:rPr>
  </w:style>
  <w:style w:type="paragraph" w:customStyle="1" w:styleId="86">
    <w:name w:val="font9"/>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87">
    <w:name w:val="font10"/>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8">
    <w:name w:val="xl74"/>
    <w:basedOn w:val="1"/>
    <w:autoRedefine/>
    <w:qFormat/>
    <w:uiPriority w:val="0"/>
    <w:pPr>
      <w:widowControl/>
      <w:spacing w:before="100" w:beforeAutospacing="1" w:after="100" w:afterAutospacing="1"/>
      <w:jc w:val="left"/>
    </w:pPr>
    <w:rPr>
      <w:rFonts w:ascii="微软雅黑" w:hAnsi="微软雅黑" w:eastAsia="微软雅黑" w:cs="宋体"/>
      <w:kern w:val="0"/>
      <w:sz w:val="16"/>
      <w:szCs w:val="16"/>
    </w:rPr>
  </w:style>
  <w:style w:type="paragraph" w:customStyle="1" w:styleId="89">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C0C0C"/>
      <w:kern w:val="0"/>
      <w:sz w:val="16"/>
      <w:szCs w:val="16"/>
    </w:rPr>
  </w:style>
  <w:style w:type="paragraph" w:customStyle="1" w:styleId="90">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C0C0C"/>
      <w:kern w:val="0"/>
      <w:sz w:val="16"/>
      <w:szCs w:val="16"/>
    </w:rPr>
  </w:style>
  <w:style w:type="paragraph" w:customStyle="1" w:styleId="91">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C0C0C"/>
      <w:kern w:val="0"/>
      <w:sz w:val="16"/>
      <w:szCs w:val="16"/>
    </w:rPr>
  </w:style>
  <w:style w:type="paragraph" w:customStyle="1" w:styleId="92">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16"/>
      <w:szCs w:val="16"/>
    </w:rPr>
  </w:style>
  <w:style w:type="paragraph" w:customStyle="1" w:styleId="93">
    <w:name w:val="xl79"/>
    <w:basedOn w:val="1"/>
    <w:autoRedefine/>
    <w:qFormat/>
    <w:uiPriority w:val="0"/>
    <w:pPr>
      <w:widowControl/>
      <w:spacing w:before="100" w:beforeAutospacing="1" w:after="100" w:afterAutospacing="1"/>
      <w:jc w:val="center"/>
    </w:pPr>
    <w:rPr>
      <w:rFonts w:ascii="微软雅黑" w:hAnsi="微软雅黑" w:eastAsia="微软雅黑" w:cs="宋体"/>
      <w:color w:val="0C0C0C"/>
      <w:kern w:val="0"/>
      <w:sz w:val="24"/>
      <w:szCs w:val="24"/>
    </w:rPr>
  </w:style>
  <w:style w:type="paragraph" w:customStyle="1" w:styleId="94">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16"/>
      <w:szCs w:val="16"/>
    </w:rPr>
  </w:style>
  <w:style w:type="character" w:customStyle="1" w:styleId="95">
    <w:name w:val="font21"/>
    <w:autoRedefine/>
    <w:qFormat/>
    <w:uiPriority w:val="0"/>
    <w:rPr>
      <w:rFonts w:hint="eastAsia" w:ascii="宋体" w:hAnsi="宋体" w:eastAsia="宋体" w:cs="宋体"/>
      <w:color w:val="000000"/>
      <w:sz w:val="20"/>
      <w:szCs w:val="20"/>
      <w:u w:val="none"/>
    </w:rPr>
  </w:style>
  <w:style w:type="paragraph" w:customStyle="1" w:styleId="96">
    <w:name w:val="正文文本首行缩进2"/>
    <w:basedOn w:val="8"/>
    <w:next w:val="1"/>
    <w:autoRedefine/>
    <w:qFormat/>
    <w:uiPriority w:val="0"/>
    <w:pPr>
      <w:widowControl/>
      <w:ind w:firstLine="420" w:firstLineChars="0"/>
    </w:pPr>
    <w:rPr>
      <w:rFonts w:ascii="Calibri" w:hAnsi="Calibri" w:eastAsia="Arial Unicode MS" w:cs="Arial Unicode MS"/>
      <w:color w:val="000000"/>
      <w:kern w:val="2"/>
      <w:sz w:val="28"/>
      <w:szCs w:val="28"/>
      <w:u w:color="000000"/>
    </w:rPr>
  </w:style>
  <w:style w:type="character" w:customStyle="1" w:styleId="97">
    <w:name w:val="Unresolved Mention"/>
    <w:basedOn w:val="21"/>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74A11-3742-4403-ADE5-5578D35467C9}">
  <ds:schemaRefs/>
</ds:datastoreItem>
</file>

<file path=docProps/app.xml><?xml version="1.0" encoding="utf-8"?>
<Properties xmlns="http://schemas.openxmlformats.org/officeDocument/2006/extended-properties" xmlns:vt="http://schemas.openxmlformats.org/officeDocument/2006/docPropsVTypes">
  <Template>Normal.dotm</Template>
  <Pages>49</Pages>
  <Words>4656</Words>
  <Characters>26542</Characters>
  <Lines>221</Lines>
  <Paragraphs>62</Paragraphs>
  <TotalTime>57</TotalTime>
  <ScaleCrop>false</ScaleCrop>
  <LinksUpToDate>false</LinksUpToDate>
  <CharactersWithSpaces>31136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2023-12-27T07:04:00Z</dcterms:created>
  <dc:creator>renjinxin425@163.com</dc:creator>
  <cp:lastModifiedBy>Administrator</cp:lastModifiedBy>
  <cp:lastPrinted>2023-12-15T04:43:00Z</cp:lastPrinted>
  <dcterms:modified xsi:type="dcterms:W3CDTF">2024-01-03T08:15:26Z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32C2796141884BD1B56C980339BEDB97_12</vt:lpwstr>
  </property>
</Properties>
</file>